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4.svg" ContentType="image/svg+xml"/>
  <Override PartName="/word/media/rId40.svg" ContentType="image/svg+xml"/>
  <Override PartName="/word/media/rId49.svg" ContentType="image/svg+xml"/>
  <Override PartName="/word/media/rId45.svg" ContentType="image/svg+xml"/>
  <Override PartName="/word/media/rId10.png" ContentType="image/png"/>
  <Override PartName="/word/media/rId30.png" ContentType="image/png"/>
  <Override PartName="/word/media/rId19.png" ContentType="image/png"/>
  <Override PartName="/word/media/rId13.png" ContentType="image/png"/>
  <Override PartName="/word/media/rId22.png" ContentType="image/png"/>
  <Override PartName="/word/media/rId2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Cursul 5: Câmpul la suprafața conductorilor; cavități; cușcă Faraday</w:t>
      </w:r>
    </w:p>
    <w:bookmarkStart w:id="9" w:name="recapitulare---curs-4-continuare"/>
    <w:p>
      <w:pPr>
        <w:pStyle w:val="Heading2"/>
      </w:pPr>
      <w:r>
        <w:t xml:space="preserve">Recapitulare - Curs 4 (continuare)</w:t>
      </w:r>
    </w:p>
    <w:p>
      <w:pPr>
        <w:pStyle w:val="FirstParagraph"/>
      </w:pPr>
      <w:r>
        <w:t xml:space="preserve">Cele patru relații fundamentale ale câmpului electrostatic în vid, stabilite în cursurile anterioare:</w:t>
      </w:r>
    </w:p>
    <w:p>
      <w:pPr>
        <w:pStyle w:val="BodyText"/>
      </w:pPr>
      <m:oMathPara>
        <m:oMathParaPr>
          <m:jc m:val="center"/>
        </m:oMathParaPr>
        <m:oMath>
          <m:eqArr>
            <m:e>
              <m:acc>
                <m:accPr>
                  <m:chr m:val="⃗"/>
                </m:accPr>
                <m:e>
                  <m:r>
                    <m:t>F</m:t>
                  </m:r>
                </m:e>
              </m:acc>
              <m:r>
                <m:t>&amp;</m:t>
              </m:r>
              <m:r>
                <m:rPr>
                  <m:sty m:val="p"/>
                </m:rPr>
                <m:t>=</m:t>
              </m:r>
              <m:r>
                <m:t>Q</m:t>
              </m:r>
              <m:r>
                <m:t> </m:t>
              </m:r>
              <m:acc>
                <m:accPr>
                  <m:chr m:val="⃗"/>
                </m:accPr>
                <m:e>
                  <m:r>
                    <m:t>E</m:t>
                  </m:r>
                </m:e>
              </m:acc>
            </m:e>
            <m:e>
              <m:acc>
                <m:accPr>
                  <m:chr m:val="⃗"/>
                </m:accPr>
                <m:e>
                  <m:r>
                    <m:t>E</m:t>
                  </m:r>
                </m:e>
              </m:acc>
              <m:r>
                <m:t>&amp;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rPr>
                  <m:sty m:val="p"/>
                </m:rPr>
                <m:t>grad</m:t>
              </m:r>
              <m:r>
                <m:t>V</m:t>
              </m:r>
            </m:e>
            <m:e>
              <m:sSub>
                <m:e>
                  <m:r>
                    <m:t>V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−</m:t>
              </m:r>
              <m:sSub>
                <m:e>
                  <m:r>
                    <m:t>V</m:t>
                  </m:r>
                </m:e>
                <m:sub>
                  <m:r>
                    <m:t>2</m:t>
                  </m:r>
                </m:sub>
              </m:sSub>
              <m:r>
                <m:t>&amp;</m:t>
              </m:r>
              <m:r>
                <m:rPr>
                  <m:sty m:val="p"/>
                </m:rPr>
                <m:t>=</m:t>
              </m:r>
              <m:nary>
                <m:naryPr>
                  <m:chr m:val="∫"/>
                  <m:limLoc m:val="subSup"/>
                  <m:subHide m:val="off"/>
                  <m:supHide m:val="off"/>
                </m:naryPr>
                <m:sub>
                  <m:r>
                    <m:t>1</m:t>
                  </m:r>
                </m:sub>
                <m:sup>
                  <m:r>
                    <m:t>2</m:t>
                  </m:r>
                </m:sup>
                <m:e>
                  <m:acc>
                    <m:accPr>
                      <m:chr m:val="⃗"/>
                    </m:accPr>
                    <m:e>
                      <m:r>
                        <m:t>E</m:t>
                      </m:r>
                    </m:e>
                  </m:acc>
                </m:e>
              </m:nary>
              <m:r>
                <m:rPr>
                  <m:sty m:val="p"/>
                </m:rPr>
                <m:t>⋅</m:t>
              </m:r>
              <m:r>
                <m:t>d</m:t>
              </m:r>
              <m:acc>
                <m:accPr>
                  <m:chr m:val="⃗"/>
                </m:accPr>
                <m:e>
                  <m:r>
                    <m:t>r</m:t>
                  </m:r>
                </m:e>
              </m:acc>
              <m:r>
                <m:t> </m:t>
              </m:r>
              <m:r>
                <m:rPr>
                  <m:nor/>
                  <m:sty m:val="p"/>
                </m:rPr>
                <m:t>(circulația câmpului = tensiunea dintre </m:t>
              </m:r>
              <m:sSub>
                <m:e>
                  <m:r>
                    <m:t>V</m:t>
                  </m:r>
                </m:e>
                <m:sub>
                  <m:r>
                    <m:t>1</m:t>
                  </m:r>
                </m:sub>
              </m:sSub>
              <m:r>
                <m:rPr>
                  <m:nor/>
                  <m:sty m:val="p"/>
                </m:rPr>
                <m:t> și </m:t>
              </m:r>
              <m:sSub>
                <m:e>
                  <m:r>
                    <m:t>V</m:t>
                  </m:r>
                </m:e>
                <m:sub>
                  <m:r>
                    <m:t>2</m:t>
                  </m:r>
                </m:sub>
              </m:sSub>
              <m:r>
                <m:rPr>
                  <m:nor/>
                  <m:sty m:val="p"/>
                </m:rPr>
                <m:t>)</m:t>
              </m:r>
            </m:e>
            <m:e>
              <m:nary>
                <m:naryPr>
                  <m:chr m:val="∮"/>
                  <m:limLoc m:val="subSup"/>
                  <m:subHide m:val="off"/>
                  <m:supHide m:val="on"/>
                </m:naryPr>
                <m:sub>
                  <m:r>
                    <m:rPr>
                      <m:sty m:val="p"/>
                    </m:rPr>
                    <m:t>Γ</m:t>
                  </m:r>
                </m:sub>
                <m:sup>
                  <m:r>
                    <m:t>​</m:t>
                  </m:r>
                </m:sup>
                <m:e>
                  <m:acc>
                    <m:accPr>
                      <m:chr m:val="⃗"/>
                    </m:accPr>
                    <m:e>
                      <m:r>
                        <m:t>E</m:t>
                      </m:r>
                    </m:e>
                  </m:acc>
                </m:e>
              </m:nary>
              <m:r>
                <m:rPr>
                  <m:sty m:val="p"/>
                </m:rPr>
                <m:t>⋅</m:t>
              </m:r>
              <m:r>
                <m:t>d</m:t>
              </m:r>
              <m:acc>
                <m:accPr>
                  <m:chr m:val="⃗"/>
                </m:accPr>
                <m:e>
                  <m:r>
                    <m:t>r</m:t>
                  </m:r>
                </m:e>
              </m:acc>
              <m:r>
                <m:t>&amp;</m:t>
              </m:r>
              <m:r>
                <m:rPr>
                  <m:sty m:val="p"/>
                </m:rPr>
                <m:t>=</m:t>
              </m:r>
              <m:r>
                <m:t>0</m:t>
              </m:r>
              <m:r>
                <m:t> </m:t>
              </m:r>
              <m:r>
                <m:rPr>
                  <m:sty m:val="p"/>
                </m:rPr>
                <m:t>⇔</m:t>
              </m:r>
              <m:r>
                <m:t> </m:t>
              </m:r>
              <m:r>
                <m:rPr>
                  <m:sty m:val="p"/>
                </m:rPr>
                <m:t>rot</m:t>
              </m:r>
              <m:acc>
                <m:accPr>
                  <m:chr m:val="⃗"/>
                </m:accPr>
                <m:e>
                  <m:r>
                    <m:t>E</m:t>
                  </m:r>
                </m:e>
              </m:acc>
              <m:r>
                <m:rPr>
                  <m:sty m:val="p"/>
                </m:rPr>
                <m:t>=</m:t>
              </m:r>
              <m:r>
                <m:t>0</m:t>
              </m:r>
            </m:e>
          </m:eqArr>
        </m:oMath>
      </m:oMathPara>
    </w:p>
    <w:p>
      <w:pPr>
        <w:pStyle w:val="FirstParagraph"/>
      </w:pPr>
      <w:r>
        <w:rPr>
          <w:b/>
          <w:bCs/>
        </w:rPr>
        <w:t xml:space="preserve">Legătura dintre câmp și sursă</w:t>
      </w:r>
      <w:r>
        <w:t xml:space="preserve"> </w:t>
      </w:r>
      <w:r>
        <w:t xml:space="preserve">(dedusă cu teorema Gauss-Ostrogradski):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ty m:val="p"/>
            </m:rPr>
            <m:t>div</m:t>
          </m:r>
          <m:acc>
            <m:accPr>
              <m:chr m:val="⃗"/>
            </m:accPr>
            <m:e>
              <m:r>
                <m:t>E</m:t>
              </m:r>
            </m:e>
          </m:acc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ρ</m:t>
              </m:r>
            </m:num>
            <m:den>
              <m:sSub>
                <m:e>
                  <m:r>
                    <m:t>ε</m:t>
                  </m:r>
                </m:e>
                <m:sub>
                  <m:r>
                    <m:t>0</m:t>
                  </m:r>
                </m:sub>
              </m:sSub>
            </m:den>
          </m:f>
          <m:r>
            <m:t>  </m:t>
          </m:r>
          <m:r>
            <m:rPr>
              <m:sty m:val="p"/>
            </m:rPr>
            <m:t>(</m:t>
          </m:r>
          <m:r>
            <m:t>ρ</m:t>
          </m:r>
          <m:r>
            <m:rPr>
              <m:nor/>
              <m:sty m:val="p"/>
            </m:rPr>
            <m:t> - densitatea volumică de sarcină; </m:t>
          </m:r>
          <m:sSub>
            <m:e>
              <m:r>
                <m:t>ε</m:t>
              </m:r>
            </m:e>
            <m:sub>
              <m:r>
                <m:t>0</m:t>
              </m:r>
            </m:sub>
          </m:sSub>
          <m:r>
            <m:rPr>
              <m:nor/>
              <m:sty m:val="p"/>
            </m:rPr>
            <m:t> - permitivitatea vidului</m:t>
          </m:r>
          <m:r>
            <m:rPr>
              <m:sty m:val="p"/>
            </m:rPr>
            <m:t>)</m:t>
          </m:r>
        </m:oMath>
      </m:oMathPara>
    </w:p>
    <w:p>
      <w:pPr>
        <w:pStyle w:val="FirstParagraph"/>
      </w:pPr>
      <m:oMathPara>
        <m:oMathParaPr>
          <m:jc m:val="center"/>
        </m:oMathParaPr>
        <m:oMath>
          <m:borderBox>
            <m:e>
              <m:r>
                <m:rPr>
                  <m:sty m:val="p"/>
                </m:rPr>
                <m:t>Δ</m:t>
              </m:r>
              <m:r>
                <m:t>V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f>
                <m:fPr>
                  <m:type m:val="bar"/>
                </m:fPr>
                <m:num>
                  <m:r>
                    <m:t>ρ</m:t>
                  </m:r>
                </m:num>
                <m:den>
                  <m:sSub>
                    <m:e>
                      <m:r>
                        <m:t>ε</m:t>
                      </m:r>
                    </m:e>
                    <m:sub>
                      <m:r>
                        <m:t>0</m:t>
                      </m:r>
                    </m:sub>
                  </m:sSub>
                </m:den>
              </m:f>
            </m:e>
          </m:borderBox>
          <m:r>
            <m:t>  </m:t>
          </m:r>
          <m:r>
            <m:rPr>
              <m:nor/>
              <m:sty m:val="p"/>
            </m:rPr>
            <m:t>(ecuația lui Poisson)</m:t>
          </m:r>
        </m:oMath>
      </m:oMathPara>
    </w:p>
    <w:p>
      <w:pPr>
        <w:pStyle w:val="FirstParagraph"/>
      </w:pPr>
      <w:r>
        <w:t xml:space="preserve">unde operatorul Laplace este: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ty m:val="p"/>
            </m:rPr>
            <m:t>Δ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sSup>
                <m:e>
                  <m:r>
                    <m:rPr>
                      <m:sty m:val="p"/>
                    </m:rPr>
                    <m:t>∂</m:t>
                  </m:r>
                </m:e>
                <m:sup>
                  <m:r>
                    <m:t>2</m:t>
                  </m:r>
                </m:sup>
              </m:sSup>
            </m:num>
            <m:den>
              <m:r>
                <m:rPr>
                  <m:sty m:val="p"/>
                </m:rPr>
                <m:t>∂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den>
          </m:f>
          <m:r>
            <m:rPr>
              <m:sty m:val="p"/>
            </m:rPr>
            <m:t>+</m:t>
          </m:r>
          <m:f>
            <m:fPr>
              <m:type m:val="bar"/>
            </m:fPr>
            <m:num>
              <m:sSup>
                <m:e>
                  <m:r>
                    <m:rPr>
                      <m:sty m:val="p"/>
                    </m:rPr>
                    <m:t>∂</m:t>
                  </m:r>
                </m:e>
                <m:sup>
                  <m:r>
                    <m:t>2</m:t>
                  </m:r>
                </m:sup>
              </m:sSup>
            </m:num>
            <m:den>
              <m:r>
                <m:rPr>
                  <m:sty m:val="p"/>
                </m:rPr>
                <m:t>∂</m:t>
              </m:r>
              <m:sSup>
                <m:e>
                  <m:r>
                    <m:t>y</m:t>
                  </m:r>
                </m:e>
                <m:sup>
                  <m:r>
                    <m:t>2</m:t>
                  </m:r>
                </m:sup>
              </m:sSup>
            </m:den>
          </m:f>
          <m:r>
            <m:rPr>
              <m:sty m:val="p"/>
            </m:rPr>
            <m:t>+</m:t>
          </m:r>
          <m:f>
            <m:fPr>
              <m:type m:val="bar"/>
            </m:fPr>
            <m:num>
              <m:sSup>
                <m:e>
                  <m:r>
                    <m:rPr>
                      <m:sty m:val="p"/>
                    </m:rPr>
                    <m:t>∂</m:t>
                  </m:r>
                </m:e>
                <m:sup>
                  <m:r>
                    <m:t>2</m:t>
                  </m:r>
                </m:sup>
              </m:sSup>
            </m:num>
            <m:den>
              <m:r>
                <m:rPr>
                  <m:sty m:val="p"/>
                </m:rPr>
                <m:t>∂</m:t>
              </m:r>
              <m:sSup>
                <m:e>
                  <m:r>
                    <m:t>z</m:t>
                  </m:r>
                </m:e>
                <m:sup>
                  <m:r>
                    <m:t>2</m:t>
                  </m:r>
                </m:sup>
              </m:sSup>
            </m:den>
          </m:f>
        </m:oMath>
      </m:oMathPara>
    </w:p>
    <w:p>
      <w:pPr>
        <w:pStyle w:val="FirstParagraph"/>
      </w:pPr>
      <w:r>
        <w:rPr>
          <w:b/>
          <w:bCs/>
        </w:rPr>
        <w:t xml:space="preserve">Fluxul printr-o suprafață gaussiană</w:t>
      </w:r>
      <w:r>
        <w:t xml:space="preserve"> </w:t>
      </w:r>
      <m:oMath>
        <m:r>
          <m:rPr>
            <m:sty m:val="p"/>
          </m:rPr>
          <m:t>Σ</m:t>
        </m:r>
      </m:oMath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rPr>
                  <m:sty m:val="p"/>
                </m:rPr>
                <m:t>Φ</m:t>
              </m:r>
            </m:e>
            <m:sub>
              <m:r>
                <m:rPr>
                  <m:sty m:val="p"/>
                </m:rPr>
                <m:t>Σ</m:t>
              </m:r>
            </m:sub>
          </m:sSub>
          <m:r>
            <m:rPr>
              <m:sty m:val="p"/>
            </m:rPr>
            <m:t>=</m:t>
          </m:r>
          <m:f>
            <m:fPr>
              <m:type m:val="bar"/>
            </m:fPr>
            <m:num>
              <m:sSub>
                <m:e>
                  <m:r>
                    <m:t>Q</m:t>
                  </m:r>
                </m:e>
                <m:sub>
                  <m:r>
                    <m:rPr>
                      <m:nor/>
                      <m:sty m:val="p"/>
                    </m:rPr>
                    <m:t>int</m:t>
                  </m:r>
                </m:sub>
              </m:sSub>
            </m:num>
            <m:den>
              <m:sSub>
                <m:e>
                  <m:r>
                    <m:t>ε</m:t>
                  </m:r>
                </m:e>
                <m:sub>
                  <m:r>
                    <m:t>0</m:t>
                  </m:r>
                </m:sub>
              </m:sSub>
            </m:den>
          </m:f>
          <m:r>
            <m:rPr>
              <m:sty m:val="p"/>
            </m:rPr>
            <m:t>,</m:t>
          </m:r>
          <m:r>
            <m:t>  </m:t>
          </m:r>
          <m:sSub>
            <m:e>
              <m:r>
                <m:rPr>
                  <m:sty m:val="p"/>
                </m:rPr>
                <m:t>Φ</m:t>
              </m:r>
            </m:e>
            <m:sub>
              <m:r>
                <m:rPr>
                  <m:sty m:val="p"/>
                </m:rPr>
                <m:t>Σ</m:t>
              </m:r>
            </m:sub>
          </m:sSub>
          <m:r>
            <m:rPr>
              <m:sty m:val="p"/>
            </m:rPr>
            <m:t>=</m:t>
          </m:r>
          <m:nary>
            <m:naryPr>
              <m:chr m:val="∯"/>
              <m:limLoc m:val="subSup"/>
              <m:subHide m:val="off"/>
              <m:supHide m:val="on"/>
            </m:naryPr>
            <m:sub>
              <m:r>
                <m:rPr>
                  <m:sty m:val="p"/>
                </m:rPr>
                <m:t>Σ</m:t>
              </m:r>
            </m:sub>
            <m:sup>
              <m:r>
                <m:t>​</m:t>
              </m:r>
            </m:sup>
            <m:e>
              <m:acc>
                <m:accPr>
                  <m:chr m:val="⃗"/>
                </m:accPr>
                <m:e>
                  <m:r>
                    <m:t>E</m:t>
                  </m:r>
                </m:e>
              </m:acc>
            </m:e>
          </m:nary>
          <m:r>
            <m:rPr>
              <m:sty m:val="p"/>
            </m:rPr>
            <m:t>⋅</m:t>
          </m:r>
          <m:acc>
            <m:accPr>
              <m:chr m:val="̂"/>
            </m:accPr>
            <m:e>
              <m:r>
                <m:t>n</m:t>
              </m:r>
            </m:e>
          </m:acc>
          <m:r>
            <m:t> </m:t>
          </m:r>
          <m:r>
            <m:t>d</m:t>
          </m:r>
          <m:r>
            <m:t>S</m:t>
          </m:r>
        </m:oMath>
      </m:oMathPara>
    </w:p>
    <w:p>
      <w:pPr>
        <w:pStyle w:val="FirstParagraph"/>
      </w:pPr>
      <w:r>
        <w:t xml:space="preserve">unde</w:t>
      </w:r>
      <w:r>
        <w:t xml:space="preserve"> </w:t>
      </w:r>
      <m:oMath>
        <m:sSub>
          <m:e>
            <m:r>
              <m:t>Q</m:t>
            </m:r>
          </m:e>
          <m:sub>
            <m:r>
              <m:rPr>
                <m:nor/>
                <m:sty m:val="p"/>
              </m:rPr>
              <m:t>int</m:t>
            </m:r>
          </m:sub>
        </m:sSub>
      </m:oMath>
      <w:r>
        <w:t xml:space="preserve"> </w:t>
      </w:r>
      <w:r>
        <w:t xml:space="preserve">este sarcina totală cuprinsă în interiorul suprafeței</w:t>
      </w:r>
      <w:r>
        <w:t xml:space="preserve"> </w:t>
      </w:r>
      <m:oMath>
        <m:r>
          <m:rPr>
            <m:sty m:val="p"/>
          </m:rPr>
          <m:t>Σ</m:t>
        </m:r>
      </m:oMath>
      <w:r>
        <w:t xml:space="preserve">.</w:t>
      </w:r>
    </w:p>
    <w:p>
      <w:pPr>
        <w:pStyle w:val="BodyText"/>
      </w:pPr>
      <w:r>
        <w:t xml:space="preserve">Aceasta ne permite să înțelegem mai bine comportamentul metalului la echilibru electrostatic:</w:t>
      </w:r>
    </w:p>
    <w:p>
      <w:pPr>
        <w:pStyle w:val="Compact"/>
        <w:numPr>
          <w:ilvl w:val="0"/>
          <w:numId w:val="1001"/>
        </w:numPr>
      </w:pPr>
      <w:r>
        <w:t xml:space="preserve">Dacă se electrizează un metal, sarcina se distribuie la suprafață (câmpul interior este zero).</w:t>
      </w:r>
    </w:p>
    <w:p>
      <w:pPr>
        <w:pStyle w:val="Compact"/>
        <w:numPr>
          <w:ilvl w:val="0"/>
          <w:numId w:val="1001"/>
        </w:numPr>
      </w:pPr>
      <w:r>
        <w:t xml:space="preserve">La echilibru electrostatic, metalul este</w:t>
      </w:r>
      <w:r>
        <w:t xml:space="preserve"> </w:t>
      </w:r>
      <w:r>
        <w:rPr>
          <w:b/>
          <w:bCs/>
        </w:rPr>
        <w:t xml:space="preserve">echipotențial</w:t>
      </w:r>
      <w:r>
        <w:t xml:space="preserve">.</w:t>
      </w:r>
    </w:p>
    <w:bookmarkEnd w:id="9"/>
    <w:bookmarkStart w:id="18" w:name="X7033ded44af077ca1951b152dbb9ce8c64727fa"/>
    <w:p>
      <w:pPr>
        <w:pStyle w:val="Heading2"/>
      </w:pPr>
      <w:r>
        <w:t xml:space="preserve">Câmpul electric în vecinătatea suprafeței unui metal electrizat</w:t>
      </w:r>
    </w:p>
    <w:p>
      <w:pPr>
        <w:pStyle w:val="CaptionedFigure"/>
      </w:pPr>
      <w:r>
        <w:drawing>
          <wp:inline>
            <wp:extent cx="5334000" cy="3000375"/>
            <wp:effectExtent b="0" l="0" r="0" t="0"/>
            <wp:docPr descr="Câmpul perpendicular pe suprafața conductorului" title="" id="11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renders/posters/c05_camp_suprafata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Câmpul perpendicular pe suprafața conductorului</w:t>
      </w:r>
    </w:p>
    <w:p>
      <w:pPr>
        <w:pStyle w:val="BodyText"/>
      </w:pPr>
      <w:r>
        <w:rPr>
          <w:b/>
          <w:bCs/>
        </w:rPr>
        <w:t xml:space="preserve">(Punctul 4 din curs)</w:t>
      </w:r>
    </w:p>
    <w:p>
      <w:pPr>
        <w:pStyle w:val="BodyText"/>
      </w:pPr>
      <w:r>
        <w:t xml:space="preserve">Câmpul electric în vecinătatea suprafeței unui metal electrizat, aflat în condiții de echilibru electrostatic, este</w:t>
      </w:r>
      <w:r>
        <w:t xml:space="preserve"> </w:t>
      </w:r>
      <w:r>
        <w:rPr>
          <w:i/>
          <w:iCs/>
        </w:rPr>
        <w:t xml:space="preserve">perpendicular pe suprafață</w:t>
      </w:r>
      <w:r>
        <w:t xml:space="preserve"> </w:t>
      </w:r>
      <w:r>
        <w:t xml:space="preserve">și</w:t>
      </w:r>
      <w:r>
        <w:t xml:space="preserve"> </w:t>
      </w:r>
      <w:r>
        <w:rPr>
          <w:i/>
          <w:iCs/>
        </w:rPr>
        <w:t xml:space="preserve">proporțional cu densitatea superficială de sarcină electrică</w:t>
      </w:r>
      <w:r>
        <w:t xml:space="preserve"> </w:t>
      </w:r>
      <w:r>
        <w:t xml:space="preserve">din acel punct.</w:t>
      </w:r>
    </w:p>
    <w:p>
      <w:pPr>
        <w:pStyle w:val="BodyText"/>
      </w:pPr>
      <w:r>
        <w:rPr>
          <w:b/>
          <w:bCs/>
        </w:rPr>
        <w:t xml:space="preserve">Justificare (argument de echilibru):</w:t>
      </w:r>
      <w:r>
        <w:t xml:space="preserve"> </w:t>
      </w:r>
      <w:r>
        <w:t xml:space="preserve">Dacă vectorul câmp electric ar fi tangențial la suprafață, el ar exercita o forță asupra sarcinilor libere din metal și le-ar pune în mișcare - metalul nu ar mai fi în echilibru electrostatic. Deci componenta tangențială trebuie să fie zero, iar</w:t>
      </w:r>
      <w:r>
        <w:t xml:space="preserve"> </w:t>
      </w:r>
      <m:oMath>
        <m:acc>
          <m:accPr>
            <m:chr m:val="⃗"/>
          </m:accPr>
          <m:e>
            <m:r>
              <m:t>E</m:t>
            </m:r>
          </m:e>
        </m:acc>
      </m:oMath>
      <w:r>
        <w:t xml:space="preserve"> </w:t>
      </w:r>
      <w:r>
        <w:t xml:space="preserve">este perpendicular pe suprafață.</w:t>
      </w:r>
    </w:p>
    <w:bookmarkStart w:id="16" w:name="X9a65487524807948fd1db9394c13f1963248a36"/>
    <w:p>
      <w:pPr>
        <w:pStyle w:val="Heading3"/>
      </w:pPr>
      <w:r>
        <w:t xml:space="preserve">Derivarea câmpului la suprafață prin cutie gaussiană (pillbox)</w:t>
      </w:r>
    </w:p>
    <w:p>
      <w:pPr>
        <w:pStyle w:val="FirstParagraph"/>
      </w:pPr>
      <w:r>
        <w:t xml:space="preserve">Considerăm o bucată de metal la scară mai mare și aplicăm teorema lui Gauss pentru o</w:t>
      </w:r>
      <w:r>
        <w:t xml:space="preserve"> </w:t>
      </w:r>
      <w:r>
        <w:rPr>
          <w:i/>
          <w:iCs/>
        </w:rPr>
        <w:t xml:space="preserve">cutie de chibrituri</w:t>
      </w:r>
      <w:r>
        <w:t xml:space="preserve"> </w:t>
      </w:r>
      <w:r>
        <w:t xml:space="preserve">(suprafață gaussiană cilindrică plată) cu o față în interiorul metalului și una în afară.</w:t>
      </w:r>
    </w:p>
    <w:p>
      <w:pPr>
        <w:pStyle w:val="CaptionedFigure"/>
      </w:pPr>
      <w:r>
        <w:drawing>
          <wp:inline>
            <wp:extent cx="5334000" cy="3000375"/>
            <wp:effectExtent b="0" l="0" r="0" t="0"/>
            <wp:docPr descr="Cutia gaussiană (pillbox) la suprafața unui conductor" title="" id="14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renders/posters/c05_pillbox_gauss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Cutia gaussiană (pillbox) la suprafața unui conductor</w:t>
      </w:r>
    </w:p>
    <w:p>
      <w:pPr>
        <w:pStyle w:val="BodyText"/>
      </w:pPr>
      <w:r>
        <w:t xml:space="preserve">Contribuțiile la flux:</w:t>
      </w:r>
    </w:p>
    <w:p>
      <w:pPr>
        <w:pStyle w:val="Compact"/>
        <w:numPr>
          <w:ilvl w:val="0"/>
          <w:numId w:val="1002"/>
        </w:numPr>
      </w:pPr>
      <w:r>
        <w:t xml:space="preserve">Fața din interior:</w:t>
      </w:r>
      <w:r>
        <w:t xml:space="preserve"> </w:t>
      </w:r>
      <m:oMath>
        <m:acc>
          <m:accPr>
            <m:chr m:val="⃗"/>
          </m:accPr>
          <m:e>
            <m:r>
              <m:t>E</m:t>
            </m:r>
          </m:e>
        </m:acc>
        <m:r>
          <m:rPr>
            <m:sty m:val="p"/>
          </m:rPr>
          <m:t>=</m:t>
        </m:r>
        <m:r>
          <m:t>0</m:t>
        </m:r>
        <m:r>
          <m:rPr>
            <m:sty m:val="p"/>
          </m:rPr>
          <m:t>⇒</m:t>
        </m:r>
      </m:oMath>
      <w:r>
        <w:t xml:space="preserve"> </w:t>
      </w:r>
      <w:r>
        <w:t xml:space="preserve">contribuție nulă.</w:t>
      </w:r>
    </w:p>
    <w:p>
      <w:pPr>
        <w:pStyle w:val="Compact"/>
        <w:numPr>
          <w:ilvl w:val="0"/>
          <w:numId w:val="1002"/>
        </w:numPr>
      </w:pPr>
      <w:r>
        <w:t xml:space="preserve">Fețele laterale:</w:t>
      </w:r>
      <w:r>
        <w:t xml:space="preserve"> </w:t>
      </w:r>
      <m:oMath>
        <m:acc>
          <m:accPr>
            <m:chr m:val="⃗"/>
          </m:accPr>
          <m:e>
            <m:r>
              <m:t>E</m:t>
            </m:r>
          </m:e>
        </m:acc>
        <m:r>
          <m:rPr>
            <m:sty m:val="p"/>
          </m:rPr>
          <m:t>⟂</m:t>
        </m:r>
        <m:acc>
          <m:accPr>
            <m:chr m:val="̂"/>
          </m:accPr>
          <m:e>
            <m:r>
              <m:t>n</m:t>
            </m:r>
          </m:e>
        </m:acc>
      </m:oMath>
      <w:r>
        <w:t xml:space="preserve"> </w:t>
      </w:r>
      <w:r>
        <w:t xml:space="preserve">pe laturi</w:t>
      </w:r>
      <w:r>
        <w:t xml:space="preserve"> </w:t>
      </w:r>
      <m:oMath>
        <m:r>
          <m:rPr>
            <m:sty m:val="p"/>
          </m:rPr>
          <m:t>⇒</m:t>
        </m:r>
      </m:oMath>
      <w:r>
        <w:t xml:space="preserve"> </w:t>
      </w:r>
      <w:r>
        <w:t xml:space="preserve">contribuție nulă.</w:t>
      </w:r>
    </w:p>
    <w:p>
      <w:pPr>
        <w:pStyle w:val="Compact"/>
        <w:numPr>
          <w:ilvl w:val="0"/>
          <w:numId w:val="1002"/>
        </w:numPr>
      </w:pPr>
      <w:r>
        <w:t xml:space="preserve">Fața exterioară:</w:t>
      </w:r>
      <w:r>
        <w:t xml:space="preserve"> </w:t>
      </w:r>
      <m:oMath>
        <m:acc>
          <m:accPr>
            <m:chr m:val="⃗"/>
          </m:accPr>
          <m:e>
            <m:r>
              <m:t>E</m:t>
            </m:r>
          </m:e>
        </m:acc>
        <m:r>
          <m:rPr>
            <m:sty m:val="p"/>
          </m:rPr>
          <m:t>∥</m:t>
        </m:r>
        <m:acc>
          <m:accPr>
            <m:chr m:val="̂"/>
          </m:accPr>
          <m:e>
            <m:r>
              <m:t>n</m:t>
            </m:r>
          </m:e>
        </m:acc>
      </m:oMath>
      <w:r>
        <w:t xml:space="preserve">, deci</w:t>
      </w:r>
      <w:r>
        <w:t xml:space="preserve"> </w:t>
      </w:r>
      <m:oMath>
        <m:acc>
          <m:accPr>
            <m:chr m:val="⃗"/>
          </m:accPr>
          <m:e>
            <m:r>
              <m:t>E</m:t>
            </m:r>
          </m:e>
        </m:acc>
        <m:r>
          <m:rPr>
            <m:sty m:val="p"/>
          </m:rPr>
          <m:t>⋅</m:t>
        </m:r>
        <m:acc>
          <m:accPr>
            <m:chr m:val="̂"/>
          </m:accPr>
          <m:e>
            <m:r>
              <m:t>n</m:t>
            </m:r>
          </m:e>
        </m:acc>
        <m:r>
          <m:rPr>
            <m:sty m:val="p"/>
          </m:rPr>
          <m:t>=</m:t>
        </m:r>
        <m:r>
          <m:t>E</m:t>
        </m:r>
      </m:oMath>
      <w:r>
        <w:t xml:space="preserve">.</w:t>
      </w:r>
    </w:p>
    <w:p>
      <w:pPr>
        <w:pStyle w:val="FirstParagraph"/>
      </w:pPr>
      <w:r>
        <w:t xml:space="preserve">Aplicând teorema Gauss (cu</w:t>
      </w:r>
      <w:r>
        <w:t xml:space="preserve"> </w:t>
      </w:r>
      <m:oMath>
        <m:r>
          <m:rPr>
            <m:sty m:val="p"/>
          </m:rPr>
          <m:t>|</m:t>
        </m:r>
        <m:acc>
          <m:accPr>
            <m:chr m:val="̂"/>
          </m:accPr>
          <m:e>
            <m:r>
              <m:t>n</m:t>
            </m:r>
          </m:e>
        </m:acc>
        <m:r>
          <m:rPr>
            <m:sty m:val="p"/>
          </m:rPr>
          <m:t>|</m:t>
        </m:r>
        <m:r>
          <m:rPr>
            <m:sty m:val="p"/>
          </m:rPr>
          <m:t>=</m:t>
        </m:r>
        <m:r>
          <m:t>1</m:t>
        </m:r>
      </m:oMath>
      <w:r>
        <w:t xml:space="preserve">, versor):</w:t>
      </w:r>
    </w:p>
    <w:p>
      <w:pPr>
        <w:pStyle w:val="BodyText"/>
      </w:pPr>
      <m:oMathPara>
        <m:oMathParaPr>
          <m:jc m:val="center"/>
        </m:oMathParaPr>
        <m:oMath>
          <m:eqArr>
            <m:e>
              <m:sSub>
                <m:e>
                  <m:r>
                    <m:rPr>
                      <m:sty m:val="p"/>
                    </m:rPr>
                    <m:t>Φ</m:t>
                  </m:r>
                </m:e>
                <m:sub>
                  <m:r>
                    <m:rPr>
                      <m:sty m:val="p"/>
                    </m:rPr>
                    <m:t>Σ</m:t>
                  </m:r>
                </m:sub>
              </m:sSub>
              <m:r>
                <m:t>&amp;</m:t>
              </m:r>
              <m:r>
                <m:rPr>
                  <m:sty m:val="p"/>
                </m:rPr>
                <m:t>=</m:t>
              </m:r>
              <m:nary>
                <m:naryPr>
                  <m:chr m:val="∯"/>
                  <m:limLoc m:val="subSup"/>
                  <m:subHide m:val="off"/>
                  <m:supHide m:val="on"/>
                </m:naryPr>
                <m:sub>
                  <m:r>
                    <m:rPr>
                      <m:sty m:val="p"/>
                    </m:rPr>
                    <m:t>Σ</m:t>
                  </m:r>
                </m:sub>
                <m:sup>
                  <m:r>
                    <m:t>​</m:t>
                  </m:r>
                </m:sup>
                <m:e>
                  <m:acc>
                    <m:accPr>
                      <m:chr m:val="⃗"/>
                    </m:accPr>
                    <m:e>
                      <m:r>
                        <m:t>E</m:t>
                      </m:r>
                    </m:e>
                  </m:acc>
                </m:e>
              </m:nary>
              <m:r>
                <m:rPr>
                  <m:sty m:val="p"/>
                </m:rPr>
                <m:t>⋅</m:t>
              </m:r>
              <m:acc>
                <m:accPr>
                  <m:chr m:val="̂"/>
                </m:accPr>
                <m:e>
                  <m:r>
                    <m:t>n</m:t>
                  </m:r>
                </m:e>
              </m:acc>
              <m:r>
                <m:t> </m:t>
              </m:r>
              <m:r>
                <m:t>d</m:t>
              </m:r>
              <m:r>
                <m:t>S</m:t>
              </m:r>
              <m:r>
                <m:rPr>
                  <m:sty m:val="p"/>
                </m:rPr>
                <m:t>=</m:t>
              </m:r>
              <m:r>
                <m:t>E</m:t>
              </m:r>
              <m:r>
                <m:rPr>
                  <m:sty m:val="p"/>
                </m:rPr>
                <m:t>⋅</m:t>
              </m:r>
              <m:r>
                <m:t>S</m:t>
              </m:r>
            </m:e>
            <m:e>
              <m:sSub>
                <m:e>
                  <m:r>
                    <m:rPr>
                      <m:sty m:val="p"/>
                    </m:rPr>
                    <m:t>Φ</m:t>
                  </m:r>
                </m:e>
                <m:sub>
                  <m:r>
                    <m:rPr>
                      <m:sty m:val="p"/>
                    </m:rPr>
                    <m:t>Σ</m:t>
                  </m:r>
                </m:sub>
              </m:sSub>
              <m:r>
                <m:t>&amp;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sSub>
                    <m:e>
                      <m:r>
                        <m:t>Q</m:t>
                      </m:r>
                    </m:e>
                    <m:sub>
                      <m:r>
                        <m:rPr>
                          <m:nor/>
                          <m:sty m:val="p"/>
                        </m:rPr>
                        <m:t>int</m:t>
                      </m:r>
                    </m:sub>
                  </m:sSub>
                </m:num>
                <m:den>
                  <m:sSub>
                    <m:e>
                      <m:r>
                        <m:t>ε</m:t>
                      </m:r>
                    </m:e>
                    <m:sub>
                      <m:r>
                        <m:t>0</m:t>
                      </m:r>
                    </m:sub>
                  </m:sSub>
                </m:den>
              </m:f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σ</m:t>
                  </m:r>
                  <m:r>
                    <m:rPr>
                      <m:sty m:val="p"/>
                    </m:rPr>
                    <m:t>⋅</m:t>
                  </m:r>
                  <m:r>
                    <m:t>S</m:t>
                  </m:r>
                </m:num>
                <m:den>
                  <m:sSub>
                    <m:e>
                      <m:r>
                        <m:t>ε</m:t>
                      </m:r>
                    </m:e>
                    <m:sub>
                      <m:r>
                        <m:t>0</m:t>
                      </m:r>
                    </m:sub>
                  </m:sSub>
                </m:den>
              </m:f>
            </m:e>
          </m:eqArr>
        </m:oMath>
      </m:oMathPara>
    </w:p>
    <w:p>
      <w:pPr>
        <w:pStyle w:val="FirstParagraph"/>
      </w:pPr>
      <w:r>
        <w:t xml:space="preserve">Egalând cele două expresii:</w:t>
      </w:r>
    </w:p>
    <w:p>
      <w:pPr>
        <w:pStyle w:val="BodyText"/>
      </w:pPr>
      <m:oMathPara>
        <m:oMathParaPr>
          <m:jc m:val="center"/>
        </m:oMathParaPr>
        <m:oMath>
          <m:r>
            <m:t>E</m:t>
          </m:r>
          <m:r>
            <m:rPr>
              <m:sty m:val="p"/>
            </m:rPr>
            <m:t>⋅</m:t>
          </m:r>
          <m:r>
            <m:t>S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σ</m:t>
              </m:r>
              <m:r>
                <m:rPr>
                  <m:sty m:val="p"/>
                </m:rPr>
                <m:t>⋅</m:t>
              </m:r>
              <m:r>
                <m:t>S</m:t>
              </m:r>
            </m:num>
            <m:den>
              <m:sSub>
                <m:e>
                  <m:r>
                    <m:t>ε</m:t>
                  </m:r>
                </m:e>
                <m:sub>
                  <m:r>
                    <m:t>0</m:t>
                  </m:r>
                </m:sub>
              </m:sSub>
            </m:den>
          </m:f>
          <m:r>
            <m:t> </m:t>
          </m:r>
          <m:r>
            <m:rPr>
              <m:sty m:val="p"/>
            </m:rPr>
            <m:t>⇒</m:t>
          </m:r>
          <m:r>
            <m:t> </m:t>
          </m:r>
          <m:borderBox>
            <m:e>
              <m:r>
                <m:t>E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σ</m:t>
                  </m:r>
                </m:num>
                <m:den>
                  <m:sSub>
                    <m:e>
                      <m:r>
                        <m:t>ε</m:t>
                      </m:r>
                    </m:e>
                    <m:sub>
                      <m:r>
                        <m:t>0</m:t>
                      </m:r>
                    </m:sub>
                  </m:sSub>
                </m:den>
              </m:f>
            </m:e>
          </m:borderBox>
        </m:oMath>
      </m:oMathPara>
    </w:p>
    <w:p>
      <w:pPr>
        <w:pStyle w:val="FirstParagraph"/>
      </w:pPr>
      <w:r>
        <w:t xml:space="preserve">Câmpul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și densitatea superficială de sarcină</w:t>
      </w:r>
      <w:r>
        <w:t xml:space="preserve"> </w:t>
      </w:r>
      <m:oMath>
        <m:r>
          <m:t>σ</m:t>
        </m:r>
      </m:oMath>
      <w:r>
        <w:t xml:space="preserve"> </w:t>
      </w:r>
      <w:r>
        <w:t xml:space="preserve">sunt proporționale; cunoscând una, o putem calcula pe cealaltă.</w:t>
      </w:r>
    </w:p>
    <w:bookmarkEnd w:id="16"/>
    <w:bookmarkStart w:id="17" w:name="exemplu-sfera-încărcată-uniform"/>
    <w:p>
      <w:pPr>
        <w:pStyle w:val="Heading3"/>
      </w:pPr>
      <w:r>
        <w:t xml:space="preserve">Exemplu: sfera încărcată uniform</w:t>
      </w:r>
    </w:p>
    <w:p>
      <w:pPr>
        <w:pStyle w:val="FirstParagraph"/>
      </w:pPr>
      <w:r>
        <w:t xml:space="preserve">Pentru o sferă de rază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cu sarcina totală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distribuită uniform (simetrie radială), câmpul în vecinătatea suprafeței sferei este:</w:t>
      </w:r>
    </w:p>
    <w:p>
      <w:pPr>
        <w:pStyle w:val="BodyText"/>
      </w:pPr>
      <m:oMathPara>
        <m:oMathParaPr>
          <m:jc m:val="center"/>
        </m:oMathParaPr>
        <m:oMath>
          <m:eqArr>
            <m:e>
              <m:r>
                <m:t>σ</m:t>
              </m:r>
              <m:r>
                <m:t>&amp;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Q</m:t>
                  </m:r>
                </m:num>
                <m:den>
                  <m:sSub>
                    <m:e>
                      <m:r>
                        <m:t>A</m:t>
                      </m:r>
                    </m:e>
                    <m:sub>
                      <m:r>
                        <m:rPr>
                          <m:nor/>
                          <m:sty m:val="p"/>
                        </m:rPr>
                        <m:t>sferei</m:t>
                      </m:r>
                    </m:sub>
                  </m:sSub>
                </m:den>
              </m:f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Q</m:t>
                  </m:r>
                </m:num>
                <m:den>
                  <m:r>
                    <m:t>4</m:t>
                  </m:r>
                  <m:r>
                    <m:t>π</m:t>
                  </m:r>
                  <m:sSup>
                    <m:e>
                      <m:r>
                        <m:t>R</m:t>
                      </m:r>
                    </m:e>
                    <m:sup>
                      <m:r>
                        <m:t>2</m:t>
                      </m:r>
                    </m:sup>
                  </m:sSup>
                </m:den>
              </m:f>
            </m:e>
            <m:e>
              <m:sSub>
                <m:e>
                  <m:r>
                    <m:t>E</m:t>
                  </m:r>
                </m:e>
                <m:sub>
                  <m:r>
                    <m:t>S</m:t>
                  </m:r>
                </m:sub>
              </m:sSub>
              <m:r>
                <m:t>&amp;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σ</m:t>
                  </m:r>
                </m:num>
                <m:den>
                  <m:sSub>
                    <m:e>
                      <m:r>
                        <m:t>ε</m:t>
                      </m:r>
                    </m:e>
                    <m:sub>
                      <m:r>
                        <m:t>0</m:t>
                      </m:r>
                    </m:sub>
                  </m:sSub>
                </m:den>
              </m:f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Q</m:t>
                  </m:r>
                </m:num>
                <m:den>
                  <m:r>
                    <m:t>4</m:t>
                  </m:r>
                  <m:r>
                    <m:t>π</m:t>
                  </m:r>
                  <m:sSup>
                    <m:e>
                      <m:r>
                        <m:t>R</m:t>
                      </m:r>
                    </m:e>
                    <m:sup>
                      <m:r>
                        <m:t>2</m:t>
                      </m:r>
                    </m:sup>
                  </m:sSup>
                  <m:sSub>
                    <m:e>
                      <m:r>
                        <m:t>ε</m:t>
                      </m:r>
                    </m:e>
                    <m:sub>
                      <m:r>
                        <m:t>0</m:t>
                      </m:r>
                    </m:sub>
                  </m:sSub>
                </m:den>
              </m:f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k</m:t>
                  </m:r>
                  <m:r>
                    <m:t>Q</m:t>
                  </m:r>
                </m:num>
                <m:den>
                  <m:sSup>
                    <m:e>
                      <m:r>
                        <m:t>R</m:t>
                      </m:r>
                    </m:e>
                    <m:sup>
                      <m:r>
                        <m:t>2</m:t>
                      </m:r>
                    </m:sup>
                  </m:sSup>
                </m:den>
              </m:f>
            </m:e>
          </m:eqArr>
        </m:oMath>
      </m:oMathPara>
    </w:p>
    <w:p>
      <w:pPr>
        <w:pStyle w:val="FirstParagraph"/>
      </w:pPr>
      <w:r>
        <w:t xml:space="preserve">unde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  <m:r>
              <m:t>π</m:t>
            </m:r>
            <m:sSub>
              <m:e>
                <m:r>
                  <m:t>ε</m:t>
                </m:r>
              </m:e>
              <m:sub>
                <m:r>
                  <m:t>0</m:t>
                </m:r>
              </m:sub>
            </m:sSub>
          </m:den>
        </m:f>
      </m:oMath>
      <w:r>
        <w:t xml:space="preserve"> </w:t>
      </w:r>
      <w:r>
        <w:t xml:space="preserve">este constanta Coulomb. Aceasta corespunde câmpului unei</w:t>
      </w:r>
      <w:r>
        <w:t xml:space="preserve"> </w:t>
      </w:r>
      <w:r>
        <w:rPr>
          <w:b/>
          <w:bCs/>
        </w:rPr>
        <w:t xml:space="preserve">sarcini punctiforme</w:t>
      </w:r>
      <w:r>
        <w:t xml:space="preserve"> </w:t>
      </w:r>
      <w:r>
        <w:t xml:space="preserve">- consecință a legii lui Gauss: din exterior, o distribuție de sarcină cu simetrie sferică se comportă exact ca o sarcină punctiformă egală, plasată în centru (rezultat cunoscut și ca teorema învelișurilor sferice).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sSub>
                <m:e>
                  <m:r>
                    <m:t>E</m:t>
                  </m:r>
                </m:e>
                <m:sub>
                  <m:r>
                    <m:t>S</m:t>
                  </m:r>
                </m:sub>
              </m:sSub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k</m:t>
                  </m:r>
                  <m:r>
                    <m:t>Q</m:t>
                  </m:r>
                </m:num>
                <m:den>
                  <m:sSup>
                    <m:e>
                      <m:r>
                        <m:t>R</m:t>
                      </m:r>
                    </m:e>
                    <m:sup>
                      <m:r>
                        <m:t>2</m:t>
                      </m:r>
                    </m:sup>
                  </m:sSup>
                </m:den>
              </m:f>
            </m:e>
          </m:borderBox>
          <m:r>
            <m:t>  </m:t>
          </m:r>
          <m:r>
            <m:rPr>
              <m:nor/>
              <m:sty m:val="p"/>
            </m:rPr>
            <m:t>(sarcină punctiformă / sferă uniformă)</m:t>
          </m:r>
        </m:oMath>
      </m:oMathPara>
    </w:p>
    <w:p>
      <w:pPr>
        <w:pStyle w:val="FirstParagraph"/>
      </w:pPr>
      <w:r>
        <w:t xml:space="preserve">Din același motiv, potențialul sferei este cel al unei sarcini punctiforme din centru,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r>
          <m:t>k</m:t>
        </m:r>
        <m:r>
          <m:t>Q</m:t>
        </m:r>
        <m:r>
          <m:rPr>
            <m:sty m:val="p"/>
          </m:rPr>
          <m:t>/</m:t>
        </m:r>
        <m:r>
          <m:t>R</m:t>
        </m:r>
      </m:oMath>
      <w:r>
        <w:t xml:space="preserve"> </w:t>
      </w:r>
      <w:r>
        <w:t xml:space="preserve">(relația stabilită în cursurile anterioare), de unde</w:t>
      </w:r>
    </w:p>
    <w:p>
      <w:pPr>
        <w:pStyle w:val="BodyText"/>
      </w:pPr>
      <m:oMathPara>
        <m:oMathParaPr>
          <m:jc m:val="center"/>
        </m:oMathParaPr>
        <m:oMath>
          <m:r>
            <m:t>Q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R</m:t>
              </m:r>
              <m:r>
                <m:t>V</m:t>
              </m:r>
            </m:num>
            <m:den>
              <m:r>
                <m:t>k</m:t>
              </m:r>
            </m:den>
          </m:f>
        </m:oMath>
      </m:oMathPara>
    </w:p>
    <w:p>
      <w:pPr>
        <w:pStyle w:val="FirstParagraph"/>
      </w:pPr>
      <w:r>
        <w:t xml:space="preserve">Această a doua relație leagă sarcina de rază</w:t>
      </w:r>
      <w:r>
        <w:t xml:space="preserve"> </w:t>
      </w:r>
      <w:r>
        <w:rPr>
          <w:i/>
          <w:iCs/>
        </w:rPr>
        <w:t xml:space="preserve">la potențial fixat</w:t>
      </w:r>
      <w:r>
        <w:t xml:space="preserve"> </w:t>
      </w:r>
      <w:r>
        <w:t xml:space="preserve">- exact ce ne trebuie pentru a înțelege corect efectul de vârf.</w:t>
      </w:r>
    </w:p>
    <w:p>
      <w:pPr>
        <w:pStyle w:val="BodyText"/>
      </w:pPr>
      <w:r>
        <w:rPr>
          <w:b/>
          <w:bCs/>
        </w:rPr>
        <w:t xml:space="preserve">Observație:</w:t>
      </w:r>
      <w:r>
        <w:t xml:space="preserve"> </w:t>
      </w:r>
      <w:r>
        <w:t xml:space="preserve">Legea</w:t>
      </w:r>
      <w:r>
        <w:t xml:space="preserve"> </w:t>
      </w:r>
      <m:oMath>
        <m:sSub>
          <m:e>
            <m:r>
              <m:t>E</m:t>
            </m:r>
          </m:e>
          <m:sub>
            <m:r>
              <m:t>S</m:t>
            </m:r>
          </m:sub>
        </m:sSub>
        <m:r>
          <m:rPr>
            <m:sty m:val="p"/>
          </m:rPr>
          <m:t>=</m:t>
        </m:r>
        <m:r>
          <m:t>k</m:t>
        </m:r>
        <m:r>
          <m:t>Q</m:t>
        </m:r>
        <m:r>
          <m:rPr>
            <m:sty m:val="p"/>
          </m:rPr>
          <m:t>/</m:t>
        </m:r>
        <m:sSup>
          <m:e>
            <m:r>
              <m:t>R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de mai sus descrie o sferă izolată cu sarcina</w:t>
      </w:r>
      <w:r>
        <w:t xml:space="preserve"> </w:t>
      </w:r>
      <m:oMath>
        <m:r>
          <m:t>Q</m:t>
        </m:r>
      </m:oMath>
      <w:r>
        <w:t xml:space="preserve"> </w:t>
      </w:r>
      <w:r>
        <w:rPr>
          <w:i/>
          <w:iCs/>
        </w:rPr>
        <w:t xml:space="preserve">fixă</w:t>
      </w:r>
      <w:r>
        <w:t xml:space="preserve">: micșorând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la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constant, câmpul crește ca</w:t>
      </w:r>
      <w:r>
        <w:t xml:space="preserve"> </w:t>
      </w:r>
      <m:oMath>
        <m:r>
          <m:t>1</m:t>
        </m:r>
        <m:r>
          <m:rPr>
            <m:sty m:val="p"/>
          </m:rPr>
          <m:t>/</m:t>
        </m:r>
        <m:sSup>
          <m:e>
            <m:r>
              <m:t>R</m:t>
            </m:r>
          </m:e>
          <m:sup>
            <m:r>
              <m:t>2</m:t>
            </m:r>
          </m:sup>
        </m:sSup>
      </m:oMath>
      <w:r>
        <w:t xml:space="preserve">. Situația unui conductor real cu vârfuri este însă alta - nu sarcina este fixă pe fiecare regiune a suprafeței, ci potențialul, comun întregului conductor. Mecanismul corect al efectului de vârf pornește chiar de aici.</w:t>
      </w:r>
    </w:p>
    <w:bookmarkEnd w:id="17"/>
    <w:bookmarkEnd w:id="18"/>
    <w:bookmarkStart w:id="29" w:name="efectul-de-vârf-și-paratrăsnetul"/>
    <w:p>
      <w:pPr>
        <w:pStyle w:val="Heading2"/>
      </w:pPr>
      <w:r>
        <w:t xml:space="preserve">Efectul de vârf și paratrăsnetul</w:t>
      </w:r>
    </w:p>
    <w:p>
      <w:pPr>
        <w:pStyle w:val="CaptionedFigure"/>
      </w:pPr>
      <w:r>
        <w:drawing>
          <wp:inline>
            <wp:extent cx="5334000" cy="3000375"/>
            <wp:effectExtent b="0" l="0" r="0" t="0"/>
            <wp:docPr descr="Efectul de vârf: câmp intens la vârfuri ascuțite" title="" id="20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renders/posters/c05_efect_varf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Efectul de vârf: câmp intens la vârfuri ascuțite</w:t>
      </w:r>
    </w:p>
    <w:p>
      <w:pPr>
        <w:pStyle w:val="CaptionedFigure"/>
      </w:pPr>
      <w:r>
        <w:drawing>
          <wp:inline>
            <wp:extent cx="5334000" cy="3000375"/>
            <wp:effectExtent b="0" l="0" r="0" t="0"/>
            <wp:docPr descr="Densitatea de sarcină și curbura suprafeței" title="" id="23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renders/posters/c05_sigma_vs_curbura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Densitatea de sarcină și curbura suprafeței</w:t>
      </w:r>
    </w:p>
    <w:bookmarkStart w:id="28" w:name="X7237979a0003b07119c88f6ee3822a382588ced"/>
    <w:p>
      <w:pPr>
        <w:pStyle w:val="Heading3"/>
      </w:pPr>
      <w:r>
        <w:t xml:space="preserve">Derivarea mecanismului: potențial fixat, rază de curbură variabilă</w:t>
      </w:r>
    </w:p>
    <w:p>
      <w:pPr>
        <w:pStyle w:val="FirstParagraph"/>
      </w:pPr>
      <w:r>
        <w:t xml:space="preserve">Un conductor cu vârfuri este o singură bucată de metal, deci echipotențial: fiecare regiune a suprafeței sale se află la</w:t>
      </w:r>
      <w:r>
        <w:t xml:space="preserve"> </w:t>
      </w:r>
      <w:r>
        <w:rPr>
          <w:i/>
          <w:iCs/>
        </w:rPr>
        <w:t xml:space="preserve">același</w:t>
      </w:r>
      <w:r>
        <w:t xml:space="preserve"> </w:t>
      </w:r>
      <w:r>
        <w:t xml:space="preserve">potențial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(proprietatea stabilită pentru orice conductor la echilibru electrostatic). Ceea ce</w:t>
      </w:r>
      <w:r>
        <w:t xml:space="preserve"> </w:t>
      </w:r>
      <w:r>
        <w:rPr>
          <w:i/>
          <w:iCs/>
        </w:rPr>
        <w:t xml:space="preserve">nu</w:t>
      </w:r>
      <w:r>
        <w:t xml:space="preserve"> </w:t>
      </w:r>
      <w:r>
        <w:t xml:space="preserve">este comun este curbura suprafeței - ea variază de la o regiune la alta: rază de curbură mică (ascuțită) la un vârf, rază mare pe o porțiune rotunjită sau plată.</w:t>
      </w:r>
    </w:p>
    <w:p>
      <w:pPr>
        <w:pStyle w:val="BodyText"/>
      </w:pPr>
      <w:r>
        <w:t xml:space="preserve">Pentru câmpul local, aproximăm porțiunea de suprafață din jurul unui punct printr-o mică sferă de rază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egală cu raza de curbură locală, ridicată la potențialul comun</w:t>
      </w:r>
      <w:r>
        <w:t xml:space="preserve"> </w:t>
      </w:r>
      <m:oMath>
        <m:r>
          <m:t>V</m:t>
        </m:r>
      </m:oMath>
      <w:r>
        <w:t xml:space="preserve">. Relația găsită mai sus pentru sfera izolată,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r>
          <m:t>k</m:t>
        </m:r>
        <m:r>
          <m:t>Q</m:t>
        </m:r>
        <m:r>
          <m:rPr>
            <m:sty m:val="p"/>
          </m:rPr>
          <m:t>/</m:t>
        </m:r>
        <m:r>
          <m:t>R</m:t>
        </m:r>
      </m:oMath>
      <w:r>
        <w:t xml:space="preserve">, se aplică acestei sfere locale, cu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înlocuit de sarcina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pe care regiunea o adună:</w:t>
      </w:r>
    </w:p>
    <w:p>
      <w:pPr>
        <w:pStyle w:val="BodyText"/>
      </w:pPr>
      <m:oMathPara>
        <m:oMathParaPr>
          <m:jc m:val="center"/>
        </m:oMathParaPr>
        <m:oMath>
          <m:r>
            <m:t>V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k</m:t>
              </m:r>
              <m:r>
                <m:t>q</m:t>
              </m:r>
            </m:num>
            <m:den>
              <m:r>
                <m:t>R</m:t>
              </m:r>
            </m:den>
          </m:f>
          <m:r>
            <m:t> </m:t>
          </m:r>
          <m:r>
            <m:rPr>
              <m:sty m:val="p"/>
            </m:rPr>
            <m:t>⇒</m:t>
          </m:r>
          <m:r>
            <m:t> </m:t>
          </m:r>
          <m:r>
            <m:t>q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R</m:t>
              </m:r>
              <m:r>
                <m:t>V</m:t>
              </m:r>
            </m:num>
            <m:den>
              <m:r>
                <m:t>k</m:t>
              </m:r>
            </m:den>
          </m:f>
        </m:oMath>
      </m:oMathPara>
    </w:p>
    <w:p>
      <w:pPr>
        <w:pStyle w:val="FirstParagraph"/>
      </w:pPr>
      <w:r>
        <w:t xml:space="preserve">Substituim în</w:t>
      </w:r>
      <w:r>
        <w:t xml:space="preserve"> </w:t>
      </w:r>
      <m:oMath>
        <m:r>
          <m:t>E</m:t>
        </m:r>
        <m:r>
          <m:rPr>
            <m:sty m:val="p"/>
          </m:rPr>
          <m:t>=</m:t>
        </m:r>
        <m:r>
          <m:t>k</m:t>
        </m:r>
        <m:r>
          <m:t>q</m:t>
        </m:r>
        <m:r>
          <m:rPr>
            <m:sty m:val="p"/>
          </m:rPr>
          <m:t>/</m:t>
        </m:r>
        <m:sSup>
          <m:e>
            <m:r>
              <m:t>R</m:t>
            </m:r>
          </m:e>
          <m:sup>
            <m:r>
              <m:t>2</m:t>
            </m:r>
          </m:sup>
        </m:sSup>
      </m:oMath>
      <w:r>
        <w:t xml:space="preserve">, câmpul de suprafață al oricărei sfere încărcate:</w:t>
      </w:r>
    </w:p>
    <w:p>
      <w:pPr>
        <w:pStyle w:val="BodyText"/>
      </w:pPr>
      <m:oMathPara>
        <m:oMathParaPr>
          <m:jc m:val="center"/>
        </m:oMathParaPr>
        <m:oMath>
          <m:r>
            <m:t>E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k</m:t>
              </m:r>
              <m:r>
                <m:t>q</m:t>
              </m:r>
            </m:num>
            <m:den>
              <m:sSup>
                <m:e>
                  <m:r>
                    <m:t>R</m:t>
                  </m:r>
                </m:e>
                <m:sup>
                  <m:r>
                    <m:t>2</m:t>
                  </m:r>
                </m:sup>
              </m:sSup>
            </m:den>
          </m:f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k</m:t>
              </m:r>
            </m:num>
            <m:den>
              <m:sSup>
                <m:e>
                  <m:r>
                    <m:t>R</m:t>
                  </m:r>
                </m:e>
                <m:sup>
                  <m:r>
                    <m:t>2</m:t>
                  </m:r>
                </m:sup>
              </m:sSup>
            </m:den>
          </m:f>
          <m:r>
            <m:rPr>
              <m:sty m:val="p"/>
            </m:rPr>
            <m:t>⋅</m:t>
          </m:r>
          <m:f>
            <m:fPr>
              <m:type m:val="bar"/>
            </m:fPr>
            <m:num>
              <m:r>
                <m:t>R</m:t>
              </m:r>
              <m:r>
                <m:t>V</m:t>
              </m:r>
            </m:num>
            <m:den>
              <m:r>
                <m:t>k</m:t>
              </m:r>
            </m:den>
          </m:f>
          <m:r>
            <m:t> </m:t>
          </m:r>
          <m:r>
            <m:rPr>
              <m:sty m:val="p"/>
            </m:rPr>
            <m:t>⇒</m:t>
          </m:r>
          <m:r>
            <m:t> </m:t>
          </m:r>
          <m:borderBox>
            <m:e>
              <m:r>
                <m:t>E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V</m:t>
                  </m:r>
                </m:num>
                <m:den>
                  <m:r>
                    <m:t>R</m:t>
                  </m:r>
                </m:den>
              </m:f>
            </m:e>
          </m:borderBox>
          <m:r>
            <m:t>  </m:t>
          </m:r>
          <m:r>
            <m:rPr>
              <m:nor/>
              <m:sty m:val="p"/>
            </m:rPr>
            <m:t>(potențial fixat </m:t>
          </m:r>
          <m:r>
            <m:t>V</m:t>
          </m:r>
          <m:r>
            <m:rPr>
              <m:nor/>
              <m:sty m:val="p"/>
            </m:rPr>
            <m:t>, rază de curbură locală </m:t>
          </m:r>
          <m:r>
            <m:t>R</m:t>
          </m:r>
          <m:r>
            <m:rPr>
              <m:nor/>
              <m:sty m:val="p"/>
            </m:rPr>
            <m:t>)</m:t>
          </m:r>
        </m:oMath>
      </m:oMathPara>
    </w:p>
    <w:p>
      <w:pPr>
        <w:pStyle w:val="FirstParagraph"/>
      </w:pPr>
      <w:r>
        <w:t xml:space="preserve">Acesta este mecanismul real al efectului de vârf. Legea nu mai este</w:t>
      </w:r>
      <w:r>
        <w:t xml:space="preserve"> </w:t>
      </w:r>
      <m:oMath>
        <m:r>
          <m:t>E</m:t>
        </m:r>
        <m:r>
          <m:rPr>
            <m:sty m:val="p"/>
          </m:rPr>
          <m:t>∝</m:t>
        </m:r>
        <m:r>
          <m:t>1</m:t>
        </m:r>
        <m:r>
          <m:rPr>
            <m:sty m:val="p"/>
          </m:rPr>
          <m:t>/</m:t>
        </m:r>
        <m:sSup>
          <m:e>
            <m:r>
              <m:t>R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(asta descria sfera izolată</w:t>
      </w:r>
      <w:r>
        <w:t xml:space="preserve"> </w:t>
      </w:r>
      <w:r>
        <w:rPr>
          <w:i/>
          <w:iCs/>
        </w:rPr>
        <w:t xml:space="preserve">cu sarcină fixă</w:t>
      </w:r>
      <w:r>
        <w:t xml:space="preserve">, nu cazul de aici), ci</w:t>
      </w:r>
      <w:r>
        <w:t xml:space="preserve"> </w:t>
      </w:r>
      <m:oMath>
        <m:r>
          <m:t>E</m:t>
        </m:r>
        <m:r>
          <m:rPr>
            <m:sty m:val="p"/>
          </m:rPr>
          <m:t>∝</m:t>
        </m:r>
        <m:r>
          <m:t>1</m:t>
        </m:r>
        <m:r>
          <m:rPr>
            <m:sty m:val="p"/>
          </m:rPr>
          <m:t>/</m:t>
        </m:r>
        <m:r>
          <m:t>R</m:t>
        </m:r>
      </m:oMath>
      <w:r>
        <w:t xml:space="preserve">: sarcina locală</w:t>
      </w:r>
      <w:r>
        <w:t xml:space="preserve"> </w:t>
      </w:r>
      <m:oMath>
        <m:r>
          <m:t>q</m:t>
        </m:r>
        <m:r>
          <m:rPr>
            <m:sty m:val="p"/>
          </m:rPr>
          <m:t>=</m:t>
        </m:r>
        <m:r>
          <m:t>R</m:t>
        </m:r>
        <m:r>
          <m:t>V</m:t>
        </m:r>
        <m:r>
          <m:rPr>
            <m:sty m:val="p"/>
          </m:rPr>
          <m:t>/</m:t>
        </m:r>
        <m:r>
          <m:t>k</m:t>
        </m:r>
      </m:oMath>
      <w:r>
        <w:t xml:space="preserve"> </w:t>
      </w:r>
      <w:r>
        <w:t xml:space="preserve">scade și ea odată cu</w:t>
      </w:r>
      <w:r>
        <w:t xml:space="preserve"> </w:t>
      </w:r>
      <m:oMath>
        <m:r>
          <m:t>R</m:t>
        </m:r>
      </m:oMath>
      <w:r>
        <w:t xml:space="preserve">, dar câmpul</w:t>
      </w:r>
      <w:r>
        <w:t xml:space="preserve"> </w:t>
      </w:r>
      <m:oMath>
        <m:r>
          <m:t>E</m:t>
        </m:r>
        <m:r>
          <m:rPr>
            <m:sty m:val="p"/>
          </m:rPr>
          <m:t>=</m:t>
        </m:r>
        <m:r>
          <m:t>k</m:t>
        </m:r>
        <m:r>
          <m:t>q</m:t>
        </m:r>
        <m:r>
          <m:rPr>
            <m:sty m:val="p"/>
          </m:rPr>
          <m:t>/</m:t>
        </m:r>
        <m:sSup>
          <m:e>
            <m:r>
              <m:t>R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scade mai încet, pentru că numărătorul pierde doar un factor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în timp ce numitorul câștigă</w:t>
      </w:r>
      <w:r>
        <w:t xml:space="preserve"> </w:t>
      </w:r>
      <m:oMath>
        <m:sSup>
          <m:e>
            <m:r>
              <m:t>R</m:t>
            </m:r>
          </m:e>
          <m:sup>
            <m:r>
              <m:t>2</m:t>
            </m:r>
          </m:sup>
        </m:sSup>
      </m:oMath>
      <w:r>
        <w:t xml:space="preserve">. Cum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este</w:t>
      </w:r>
      <w:r>
        <w:t xml:space="preserve"> </w:t>
      </w:r>
      <w:r>
        <w:rPr>
          <w:i/>
          <w:iCs/>
        </w:rPr>
        <w:t xml:space="preserve">același</w:t>
      </w:r>
      <w:r>
        <w:t xml:space="preserve"> </w:t>
      </w:r>
      <w:r>
        <w:t xml:space="preserve">peste tot pe conductor, iar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variază de la o regiune la alta, regiunea cu raza de curbură cea mai mică are întotdeauna câmpul de suprafață cel mai intens.</w:t>
      </w:r>
    </w:p>
    <w:p>
      <w:pPr>
        <w:pStyle w:val="BodyText"/>
      </w:pPr>
      <w:r>
        <w:rPr>
          <w:b/>
          <w:bCs/>
        </w:rPr>
        <w:t xml:space="preserve">Exemplu (confirmare exactă):</w:t>
      </w:r>
      <w:r>
        <w:t xml:space="preserve"> </w:t>
      </w:r>
      <w:r>
        <w:t xml:space="preserve">aproximarea de mai sus devine riguroasă, nu doar locală, dacă cele două regiuni sunt literalmente două sfere conductoare unite printr-un fir subțire - unirea prin fir le impune același potențial</w:t>
      </w:r>
      <w:r>
        <w:t xml:space="preserve"> </w:t>
      </w:r>
      <m:oMath>
        <m:r>
          <m:t>V</m:t>
        </m:r>
      </m:oMath>
      <w:r>
        <w:t xml:space="preserve">, exact ipoteza folosită mai sus. Pentru raze</w:t>
      </w:r>
      <w:r>
        <w:t xml:space="preserve"> </w:t>
      </w:r>
      <m:oMath>
        <m:sSub>
          <m:e>
            <m:r>
              <m:t>R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și</w:t>
      </w:r>
      <w:r>
        <w:t xml:space="preserve"> </w:t>
      </w:r>
      <m:oMath>
        <m:sSub>
          <m:e>
            <m:r>
              <m:t>R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sSub>
          <m:e>
            <m:r>
              <m:t>R</m:t>
            </m:r>
          </m:e>
          <m:sub>
            <m:r>
              <m:t>1</m:t>
            </m:r>
          </m:sub>
        </m:sSub>
        <m:r>
          <m:rPr>
            <m:sty m:val="p"/>
          </m:rPr>
          <m:t>/</m:t>
        </m:r>
        <m:r>
          <m:t>3</m:t>
        </m:r>
      </m:oMath>
      <w:r>
        <w:t xml:space="preserve">, sarcinile sunt</w:t>
      </w:r>
      <w:r>
        <w:t xml:space="preserve"> </w:t>
      </w:r>
      <m:oMath>
        <m:sSub>
          <m:e>
            <m:r>
              <m:t>Q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R</m:t>
            </m:r>
          </m:e>
          <m:sub>
            <m:r>
              <m:t>1</m:t>
            </m:r>
          </m:sub>
        </m:sSub>
        <m:r>
          <m:t>V</m:t>
        </m:r>
        <m:r>
          <m:rPr>
            <m:sty m:val="p"/>
          </m:rPr>
          <m:t>/</m:t>
        </m:r>
        <m:r>
          <m:t>k</m:t>
        </m:r>
      </m:oMath>
      <w:r>
        <w:t xml:space="preserve"> </w:t>
      </w:r>
      <w:r>
        <w:t xml:space="preserve">și</w:t>
      </w:r>
      <w:r>
        <w:t xml:space="preserve"> </w:t>
      </w:r>
      <m:oMath>
        <m:sSub>
          <m:e>
            <m:r>
              <m:t>Q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sSub>
          <m:e>
            <m:r>
              <m:t>R</m:t>
            </m:r>
          </m:e>
          <m:sub>
            <m:r>
              <m:t>2</m:t>
            </m:r>
          </m:sub>
        </m:sSub>
        <m:r>
          <m:t>V</m:t>
        </m:r>
        <m:r>
          <m:rPr>
            <m:sty m:val="p"/>
          </m:rPr>
          <m:t>/</m:t>
        </m:r>
        <m:r>
          <m:t>k</m:t>
        </m:r>
      </m:oMath>
      <w:r>
        <w:t xml:space="preserve">, deci</w:t>
      </w:r>
      <w:r>
        <w:t xml:space="preserve"> </w:t>
      </w:r>
      <m:oMath>
        <m:sSub>
          <m:e>
            <m:r>
              <m:t>Q</m:t>
            </m:r>
          </m:e>
          <m:sub>
            <m:r>
              <m:t>1</m:t>
            </m:r>
          </m:sub>
        </m:sSub>
        <m:r>
          <m:rPr>
            <m:sty m:val="p"/>
          </m:rPr>
          <m:t>/</m:t>
        </m:r>
        <m:sSub>
          <m:e>
            <m:r>
              <m:t>Q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sSub>
          <m:e>
            <m:r>
              <m:t>R</m:t>
            </m:r>
          </m:e>
          <m:sub>
            <m:r>
              <m:t>1</m:t>
            </m:r>
          </m:sub>
        </m:sSub>
        <m:r>
          <m:rPr>
            <m:sty m:val="p"/>
          </m:rPr>
          <m:t>/</m:t>
        </m:r>
        <m:sSub>
          <m:e>
            <m:r>
              <m:t>R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r>
          <m:t>3</m:t>
        </m:r>
      </m:oMath>
      <w:r>
        <w:t xml:space="preserve">: sfera mare adună de trei ori mai multă sarcină. Câmpurile de suprafață sunt însă</w:t>
      </w:r>
      <w:r>
        <w:t xml:space="preserve"> </w:t>
      </w:r>
      <m:oMath>
        <m:sSub>
          <m:e>
            <m:r>
              <m:t>E</m:t>
            </m:r>
          </m:e>
          <m:sub>
            <m:r>
              <m:t>i</m:t>
            </m:r>
          </m:sub>
        </m:sSub>
        <m:r>
          <m:rPr>
            <m:sty m:val="p"/>
          </m:rPr>
          <m:t>=</m:t>
        </m:r>
        <m:r>
          <m:t>V</m:t>
        </m:r>
        <m:r>
          <m:rPr>
            <m:sty m:val="p"/>
          </m:rPr>
          <m:t>/</m:t>
        </m:r>
        <m:sSub>
          <m:e>
            <m:r>
              <m:t>R</m:t>
            </m:r>
          </m:e>
          <m:sub>
            <m:r>
              <m:t>i</m:t>
            </m:r>
          </m:sub>
        </m:sSub>
      </m:oMath>
      <w:r>
        <w:t xml:space="preserve">, deci</w:t>
      </w:r>
      <w:r>
        <w:t xml:space="preserve"> </w:t>
      </w:r>
      <m:oMath>
        <m:sSub>
          <m:e>
            <m:r>
              <m:t>E</m:t>
            </m:r>
          </m:e>
          <m:sub>
            <m:r>
              <m:t>2</m:t>
            </m:r>
          </m:sub>
        </m:sSub>
        <m:r>
          <m:rPr>
            <m:sty m:val="p"/>
          </m:rPr>
          <m:t>/</m:t>
        </m:r>
        <m:sSub>
          <m:e>
            <m:r>
              <m:t>E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t>R</m:t>
            </m:r>
          </m:e>
          <m:sub>
            <m:r>
              <m:t>1</m:t>
            </m:r>
          </m:sub>
        </m:sSub>
        <m:r>
          <m:rPr>
            <m:sty m:val="p"/>
          </m:rPr>
          <m:t>/</m:t>
        </m:r>
        <m:sSub>
          <m:e>
            <m:r>
              <m:t>R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  <m:r>
          <m:t>3</m:t>
        </m:r>
      </m:oMath>
      <w:r>
        <w:t xml:space="preserve">: sfera</w:t>
      </w:r>
      <w:r>
        <w:t xml:space="preserve"> </w:t>
      </w:r>
      <w:r>
        <w:rPr>
          <w:i/>
          <w:iCs/>
        </w:rPr>
        <w:t xml:space="preserve">mică</w:t>
      </w:r>
      <w:r>
        <w:t xml:space="preserve"> </w:t>
      </w:r>
      <w:r>
        <w:t xml:space="preserve">are câmpul de trei ori mai intens și se descarcă prima. Sarcina e mai mare pe conductorul mare, dar câmpul e mai mare pe cel mic - exact contrastul care explică de ce vârfurile, nu suprafețele întinse, produc scântei.</w:t>
      </w:r>
    </w:p>
    <w:p>
      <w:pPr>
        <w:pStyle w:val="BodyText"/>
      </w:pPr>
      <w:r>
        <w:t xml:space="preserve">Pe un conductor real, cu vârfuri ascuțite și porțiuni rotunjite, densitatea de sarcină urmează aceeași lege,</w:t>
      </w:r>
      <w:r>
        <w:t xml:space="preserve"> </w:t>
      </w:r>
      <m:oMath>
        <m:r>
          <m:t>σ</m:t>
        </m:r>
        <m:r>
          <m:rPr>
            <m:sty m:val="p"/>
          </m:rPr>
          <m:t>=</m:t>
        </m:r>
        <m:sSub>
          <m:e>
            <m:r>
              <m:t>ε</m:t>
            </m:r>
          </m:e>
          <m:sub>
            <m:r>
              <m:t>0</m:t>
            </m:r>
          </m:sub>
        </m:sSub>
        <m:r>
          <m:t>E</m:t>
        </m:r>
        <m:r>
          <m:rPr>
            <m:sty m:val="p"/>
          </m:rPr>
          <m:t>=</m:t>
        </m:r>
        <m:sSub>
          <m:e>
            <m:r>
              <m:t>ε</m:t>
            </m:r>
          </m:e>
          <m:sub>
            <m:r>
              <m:t>0</m:t>
            </m:r>
          </m:sub>
        </m:sSub>
        <m:r>
          <m:t>V</m:t>
        </m:r>
        <m:r>
          <m:rPr>
            <m:sty m:val="p"/>
          </m:rPr>
          <m:t>/</m:t>
        </m:r>
        <m:r>
          <m:t>R</m:t>
        </m:r>
      </m:oMath>
      <w:r>
        <w:t xml:space="preserve">: mare la vârfuri (rază mică), mică pe suprafețele plate sau larg rotunjite (rază mare). Concentrarea sarcinii și a câmpului la vârfuri are consecințe fizice directe.</w:t>
      </w:r>
    </w:p>
    <w:p>
      <w:pPr>
        <w:pStyle w:val="BodyText"/>
      </w:pPr>
      <w:r>
        <w:t xml:space="preserve">Dacă câmpul este suficient de intens (</w:t>
      </w:r>
      <m:oMath>
        <m:r>
          <m:t>E</m:t>
        </m:r>
        <m:r>
          <m:rPr>
            <m:sty m:val="p"/>
          </m:rPr>
          <m:t>&gt;</m:t>
        </m:r>
        <m:r>
          <m:t>3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6</m:t>
            </m:r>
          </m:sup>
        </m:sSup>
        <m:r>
          <m:t> </m:t>
        </m:r>
        <m:r>
          <m:rPr>
            <m:sty m:val="p"/>
          </m:rPr>
          <m:t>V</m:t>
        </m:r>
        <m:r>
          <m:rPr>
            <m:sty m:val="p"/>
          </m:rPr>
          <m:t>/</m:t>
        </m:r>
        <m:r>
          <m:rPr>
            <m:sty m:val="p"/>
          </m:rPr>
          <m:t>m</m:t>
        </m:r>
      </m:oMath>
      <w:r>
        <w:t xml:space="preserve"> </w:t>
      </w:r>
      <w:r>
        <w:t xml:space="preserve">în aer), produce:</w:t>
      </w:r>
    </w:p>
    <w:p>
      <w:pPr>
        <w:pStyle w:val="Compact"/>
        <w:numPr>
          <w:ilvl w:val="0"/>
          <w:numId w:val="1003"/>
        </w:numPr>
      </w:pPr>
      <w:r>
        <w:t xml:space="preserve">agitarea și ionizarea atomilor de oxigen și azot din aer,</w:t>
      </w:r>
    </w:p>
    <w:p>
      <w:pPr>
        <w:pStyle w:val="Compact"/>
        <w:numPr>
          <w:ilvl w:val="0"/>
          <w:numId w:val="1003"/>
        </w:numPr>
      </w:pPr>
      <w:r>
        <w:t xml:space="preserve">descărcare electrică în atmosferă,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fulgere</w:t>
      </w:r>
      <w:r>
        <w:t xml:space="preserve"> </w:t>
      </w:r>
      <w:r>
        <w:t xml:space="preserve">și descărcări luminoase (coroană).</w:t>
      </w:r>
    </w:p>
    <w:p>
      <w:pPr>
        <w:pStyle w:val="FirstParagraph"/>
      </w:pPr>
      <w:r>
        <w:rPr>
          <w:b/>
          <w:bCs/>
        </w:rPr>
        <w:t xml:space="preserve">Trăsnetul / tunetul:</w:t>
      </w:r>
      <w:r>
        <w:t xml:space="preserve"> </w:t>
      </w:r>
      <w:r>
        <w:t xml:space="preserve">viteza sunetului este</w:t>
      </w:r>
      <w:r>
        <w:t xml:space="preserve"> </w:t>
      </w:r>
      <m:oMath>
        <m:sSub>
          <m:e>
            <m:r>
              <m:t>v</m:t>
            </m:r>
          </m:e>
          <m:sub>
            <m:r>
              <m:rPr>
                <m:nor/>
                <m:sty m:val="p"/>
              </m:rPr>
              <m:t>sunet</m:t>
            </m:r>
          </m:sub>
        </m:sSub>
        <m:r>
          <m:rPr>
            <m:sty m:val="p"/>
          </m:rPr>
          <m:t>≈</m:t>
        </m:r>
        <m:r>
          <m:t>340</m:t>
        </m:r>
        <m:r>
          <m:t> </m:t>
        </m:r>
        <m:r>
          <m:rPr>
            <m:sty m:val="p"/>
          </m:rPr>
          <m:t>m</m:t>
        </m:r>
        <m:r>
          <m:rPr>
            <m:sty m:val="p"/>
          </m:rPr>
          <m:t>/</m:t>
        </m:r>
        <m:r>
          <m:rPr>
            <m:sty m:val="p"/>
          </m:rPr>
          <m:t>s</m:t>
        </m:r>
      </m:oMath>
      <w:r>
        <w:t xml:space="preserve">, motiv pentru care tunetul se propagă mai greu decât lumina fulgerului.</w:t>
      </w:r>
    </w:p>
    <w:p>
      <w:pPr>
        <w:pStyle w:val="BodyText"/>
      </w:pPr>
      <w:r>
        <w:rPr>
          <w:b/>
          <w:bCs/>
        </w:rPr>
        <w:t xml:space="preserve">Paratrăsnetul</w:t>
      </w:r>
      <w:r>
        <w:t xml:space="preserve"> </w:t>
      </w:r>
      <w:r>
        <w:t xml:space="preserve">- proprietate a metalului: descărcarea electrică se va produce preferențial prin vârf (acolo unde câmpul este cel mai intens), prevenind astfel descărcarea directă pe structuri. Câmpul este foarte intens în cazul vârfurilor ascuțite metalice.</w:t>
      </w:r>
    </w:p>
    <w:p>
      <w:pPr>
        <w:pStyle w:val="CaptionedFigure"/>
      </w:pPr>
      <w:r>
        <w:drawing>
          <wp:inline>
            <wp:extent cx="5334000" cy="3000375"/>
            <wp:effectExtent b="0" l="0" r="0" t="0"/>
            <wp:docPr descr="Paratrăsnetul și descărcarea atmosferică" title="" id="26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renders/posters/c05_trasnet_paratrasnet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Paratrăsnetul și descărcarea atmosferică</w:t>
      </w:r>
    </w:p>
    <w:p>
      <w:pPr>
        <w:pStyle w:val="BodyText"/>
      </w:pPr>
      <w:r>
        <w:t xml:space="preserve">Forța maximă se exercită acolo unde câmpul este maxim:</w:t>
      </w:r>
    </w:p>
    <w:p>
      <w:pPr>
        <w:pStyle w:val="BodyText"/>
      </w:pPr>
      <m:oMathPara>
        <m:oMathParaPr>
          <m:jc m:val="center"/>
        </m:oMathParaPr>
        <m:oMath>
          <m:acc>
            <m:accPr>
              <m:chr m:val="⃗"/>
            </m:accPr>
            <m:e>
              <m:r>
                <m:t>F</m:t>
              </m:r>
            </m:e>
          </m:acc>
          <m:r>
            <m:rPr>
              <m:sty m:val="p"/>
            </m:rPr>
            <m:t>=</m:t>
          </m:r>
          <m:r>
            <m:t>Q</m:t>
          </m:r>
          <m:acc>
            <m:accPr>
              <m:chr m:val="⃗"/>
            </m:accPr>
            <m:e>
              <m:r>
                <m:t>E</m:t>
              </m:r>
            </m:e>
          </m:acc>
          <m:r>
            <m:t> </m:t>
          </m:r>
          <m:r>
            <m:rPr>
              <m:sty m:val="p"/>
            </m:rPr>
            <m:t>⇒</m:t>
          </m:r>
          <m:r>
            <m:t> </m:t>
          </m:r>
          <m:sSub>
            <m:e>
              <m:r>
                <m:t>F</m:t>
              </m:r>
            </m:e>
            <m:sub>
              <m:r>
                <m:rPr>
                  <m:nor/>
                  <m:sty m:val="p"/>
                </m:rPr>
                <m:t>max</m:t>
              </m:r>
            </m:sub>
          </m:sSub>
          <m:r>
            <m:rPr>
              <m:nor/>
              <m:sty m:val="p"/>
            </m:rPr>
            <m:t> unde </m:t>
          </m:r>
          <m:sSub>
            <m:e>
              <m:r>
                <m:t>E</m:t>
              </m:r>
            </m:e>
            <m:sub>
              <m:r>
                <m:rPr>
                  <m:nor/>
                  <m:sty m:val="p"/>
                </m:rPr>
                <m:t>max</m:t>
              </m:r>
            </m:sub>
          </m:sSub>
        </m:oMath>
      </m:oMathPara>
    </w:p>
    <w:bookmarkEnd w:id="28"/>
    <w:bookmarkEnd w:id="29"/>
    <w:bookmarkStart w:id="38" w:name="X9766c885a8d029ac2adb90962127044dbd31d7a"/>
    <w:p>
      <w:pPr>
        <w:pStyle w:val="Heading2"/>
      </w:pPr>
      <w:r>
        <w:t xml:space="preserve">Câmpul electric în cavitățile metalelor electrizate</w:t>
      </w:r>
    </w:p>
    <w:p>
      <w:pPr>
        <w:pStyle w:val="FirstParagraph"/>
      </w:pPr>
      <w:r>
        <w:rPr>
          <w:b/>
          <w:bCs/>
        </w:rPr>
        <w:t xml:space="preserve">(Punctul 5 din curs)</w:t>
      </w:r>
    </w:p>
    <w:bookmarkStart w:id="33" w:name="X4c2416656560b35321ca7ae91d0d4800b51ae72"/>
    <w:p>
      <w:pPr>
        <w:pStyle w:val="Heading3"/>
      </w:pPr>
      <w:r>
        <w:t xml:space="preserve">Cazul 1: cavitate goală în metal electrizat</w:t>
      </w:r>
    </w:p>
    <w:p>
      <w:pPr>
        <w:pStyle w:val="CaptionedFigure"/>
      </w:pPr>
      <w:r>
        <w:drawing>
          <wp:inline>
            <wp:extent cx="5334000" cy="3000375"/>
            <wp:effectExtent b="0" l="0" r="0" t="0"/>
            <wp:docPr descr="Câmpul nul în cavitatea unui conductor" title="" id="31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renders/posters/c05_cavitate_go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Câmpul nul în cavitatea unui conductor</w:t>
      </w:r>
    </w:p>
    <w:p>
      <w:pPr>
        <w:pStyle w:val="BodyText"/>
      </w:pPr>
      <w:r>
        <w:t xml:space="preserve">Alegem o suprafață gaussiană</w:t>
      </w:r>
      <w:r>
        <w:t xml:space="preserve"> </w:t>
      </w:r>
      <m:oMath>
        <m:r>
          <m:rPr>
            <m:sty m:val="p"/>
          </m:rPr>
          <m:t>Σ</m:t>
        </m:r>
      </m:oMath>
      <w:r>
        <w:t xml:space="preserve"> </w:t>
      </w:r>
      <w:r>
        <w:t xml:space="preserve">complet în interiorul metalului (trecând prin material, nu prin cavitate). Deoarece</w:t>
      </w:r>
      <w:r>
        <w:t xml:space="preserve"> </w:t>
      </w:r>
      <m:oMath>
        <m:acc>
          <m:accPr>
            <m:chr m:val="⃗"/>
          </m:accPr>
          <m:e>
            <m:r>
              <m:t>E</m:t>
            </m:r>
          </m:e>
        </m:acc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în metal: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rPr>
                  <m:sty m:val="p"/>
                </m:rPr>
                <m:t>Φ</m:t>
              </m:r>
            </m:e>
            <m:sub>
              <m:r>
                <m:rPr>
                  <m:sty m:val="p"/>
                </m:rPr>
                <m:t>Σ</m:t>
              </m:r>
            </m:sub>
          </m:sSub>
          <m:r>
            <m:rPr>
              <m:sty m:val="p"/>
            </m:rPr>
            <m:t>=</m:t>
          </m:r>
          <m:nary>
            <m:naryPr>
              <m:chr m:val="∯"/>
              <m:limLoc m:val="subSup"/>
              <m:subHide m:val="off"/>
              <m:supHide m:val="on"/>
            </m:naryPr>
            <m:sub>
              <m:r>
                <m:rPr>
                  <m:sty m:val="p"/>
                </m:rPr>
                <m:t>Σ</m:t>
              </m:r>
            </m:sub>
            <m:sup>
              <m:r>
                <m:t>​</m:t>
              </m:r>
            </m:sup>
            <m:e>
              <m:acc>
                <m:accPr>
                  <m:chr m:val="⃗"/>
                </m:accPr>
                <m:e>
                  <m:r>
                    <m:t>E</m:t>
                  </m:r>
                </m:e>
              </m:acc>
            </m:e>
          </m:nary>
          <m:r>
            <m:rPr>
              <m:sty m:val="p"/>
            </m:rPr>
            <m:t>⋅</m:t>
          </m:r>
          <m:acc>
            <m:accPr>
              <m:chr m:val="̂"/>
            </m:accPr>
            <m:e>
              <m:r>
                <m:t>n</m:t>
              </m:r>
            </m:e>
          </m:acc>
          <m:r>
            <m:t> </m:t>
          </m:r>
          <m:r>
            <m:t>d</m:t>
          </m:r>
          <m:r>
            <m:t>S</m:t>
          </m:r>
          <m:r>
            <m:rPr>
              <m:sty m:val="p"/>
            </m:rPr>
            <m:t>=</m:t>
          </m:r>
          <m:r>
            <m:t>0</m:t>
          </m:r>
        </m:oMath>
      </m:oMathPara>
    </w:p>
    <w:p>
      <w:pPr>
        <w:pStyle w:val="FirstParagraph"/>
      </w:pPr>
      <w:r>
        <w:t xml:space="preserve">Prin teorema Gauss: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rPr>
                  <m:sty m:val="p"/>
                </m:rPr>
                <m:t>Φ</m:t>
              </m:r>
            </m:e>
            <m:sub>
              <m:r>
                <m:rPr>
                  <m:sty m:val="p"/>
                </m:rPr>
                <m:t>Σ</m:t>
              </m:r>
            </m:sub>
          </m:sSub>
          <m:r>
            <m:rPr>
              <m:sty m:val="p"/>
            </m:rPr>
            <m:t>=</m:t>
          </m:r>
          <m:f>
            <m:fPr>
              <m:type m:val="bar"/>
            </m:fPr>
            <m:num>
              <m:sSub>
                <m:e>
                  <m:r>
                    <m:t>Q</m:t>
                  </m:r>
                </m:e>
                <m:sub>
                  <m:r>
                    <m:rPr>
                      <m:nor/>
                      <m:sty m:val="p"/>
                    </m:rPr>
                    <m:t>int</m:t>
                  </m:r>
                </m:sub>
              </m:sSub>
            </m:num>
            <m:den>
              <m:sSub>
                <m:e>
                  <m:r>
                    <m:t>ε</m:t>
                  </m:r>
                </m:e>
                <m:sub>
                  <m:r>
                    <m:t>0</m:t>
                  </m:r>
                </m:sub>
              </m:sSub>
            </m:den>
          </m:f>
          <m:r>
            <m:rPr>
              <m:sty m:val="p"/>
            </m:rPr>
            <m:t>=</m:t>
          </m:r>
          <m:r>
            <m:t>0</m:t>
          </m:r>
          <m:r>
            <m:t> </m:t>
          </m:r>
          <m:r>
            <m:rPr>
              <m:sty m:val="p"/>
            </m:rPr>
            <m:t>⇒</m:t>
          </m:r>
          <m:r>
            <m:t> </m:t>
          </m:r>
          <m:borderBox>
            <m:e>
              <m:sSub>
                <m:e>
                  <m:r>
                    <m:t>Q</m:t>
                  </m:r>
                </m:e>
                <m:sub>
                  <m:r>
                    <m:rPr>
                      <m:nor/>
                      <m:sty m:val="p"/>
                    </m:rPr>
                    <m:t>int</m:t>
                  </m:r>
                </m:sub>
              </m:sSub>
              <m:r>
                <m:rPr>
                  <m:sty m:val="p"/>
                </m:rPr>
                <m:t>=</m:t>
              </m:r>
              <m:r>
                <m:t>0</m:t>
              </m:r>
            </m:e>
          </m:borderBox>
        </m:oMath>
      </m:oMathPara>
    </w:p>
    <w:p>
      <w:pPr>
        <w:pStyle w:val="FirstParagraph"/>
      </w:pPr>
      <w:r>
        <w:t xml:space="preserve">Nu există sarcină netă înăuntrul suprafeței gaussiene (adică pe suprafața interioară a cavității). Deci</w:t>
      </w:r>
      <w:r>
        <w:t xml:space="preserve"> </w:t>
      </w:r>
      <w:r>
        <w:rPr>
          <w:b/>
          <w:bCs/>
        </w:rPr>
        <w:t xml:space="preserve">pe suprafața interioară nu se acumulează sarcină electrică</w:t>
      </w:r>
      <w:r>
        <w:t xml:space="preserve">.</w:t>
      </w:r>
    </w:p>
    <w:bookmarkEnd w:id="33"/>
    <w:bookmarkStart w:id="37" w:name="X9a3273e62e31c043267c150e6015af18d6ca0f7"/>
    <w:p>
      <w:pPr>
        <w:pStyle w:val="Heading3"/>
      </w:pPr>
      <w:r>
        <w:t xml:space="preserve">Demonstrație suplimentară - absența câmpului în cavitate</w:t>
      </w:r>
    </w:p>
    <w:p>
      <w:pPr>
        <w:pStyle w:val="CaptionedFigure"/>
      </w:pPr>
      <w:r>
        <w:drawing>
          <wp:inline>
            <wp:extent cx="1581150" cy="1381125"/>
            <wp:effectExtent b="0" l="0" r="0" t="0"/>
            <wp:docPr descr="Contur închis Π prin cavitate și metal: portiunea în metal contribuie cu zero la circulație; dacă există câmp în cavitate, circulația nu poate fi zero — contradicție." title="" id="35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figures/c05_contur_cavitate.svg" id="36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Contur închis Π prin cavitate și metal: portiunea în metal contribuie cu zero la circulație; dacă există câmp în cavitate, circulația nu poate fi zero — contradicție.</w:t>
      </w:r>
    </w:p>
    <w:p>
      <w:pPr>
        <w:pStyle w:val="BodyText"/>
      </w:pPr>
      <w:r>
        <w:t xml:space="preserve">Prin contradicție: presupunem că există câmp</w:t>
      </w:r>
      <w:r>
        <w:t xml:space="preserve"> </w:t>
      </w:r>
      <m:oMath>
        <m:sSub>
          <m:e>
            <m:acc>
              <m:accPr>
                <m:chr m:val="⃗"/>
              </m:accPr>
              <m:e>
                <m:r>
                  <m:t>E</m:t>
                </m:r>
              </m:e>
            </m:acc>
          </m:e>
          <m:sub>
            <m:r>
              <m:rPr>
                <m:nor/>
                <m:sty m:val="p"/>
              </m:rPr>
              <m:t>cav</m:t>
            </m:r>
          </m:sub>
        </m:sSub>
        <m:r>
          <m:rPr>
            <m:sty m:val="p"/>
          </m:rPr>
          <m:t>≠</m:t>
        </m:r>
        <m:r>
          <m:t>0</m:t>
        </m:r>
      </m:oMath>
      <w:r>
        <w:t xml:space="preserve"> </w:t>
      </w:r>
      <w:r>
        <w:t xml:space="preserve">în cavitate. Atunci ar exista linii de câmp în interior, de la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la</w:t>
      </w:r>
      <w:r>
        <w:t xml:space="preserve"> </w:t>
      </w:r>
      <m:oMath>
        <m:r>
          <m:rPr>
            <m:sty m:val="p"/>
          </m:rPr>
          <m:t>−</m:t>
        </m:r>
      </m:oMath>
      <w:r>
        <w:t xml:space="preserve">. Prelungind una din aceste linii de câmp printr-un drum</w:t>
      </w:r>
      <w:r>
        <w:t xml:space="preserve"> </w:t>
      </w:r>
      <m:oMath>
        <m:r>
          <m:rPr>
            <m:sty m:val="p"/>
          </m:rPr>
          <m:t>Π</m:t>
        </m:r>
      </m:oMath>
      <w:r>
        <w:t xml:space="preserve"> </w:t>
      </w:r>
      <w:r>
        <w:t xml:space="preserve">care trece și prin metal (unde</w:t>
      </w:r>
      <w:r>
        <w:t xml:space="preserve"> </w:t>
      </w:r>
      <m:oMath>
        <m:acc>
          <m:accPr>
            <m:chr m:val="⃗"/>
          </m:accPr>
          <m:e>
            <m:r>
              <m:t>E</m:t>
            </m:r>
          </m:e>
        </m:acc>
        <m:r>
          <m:rPr>
            <m:sty m:val="p"/>
          </m:rPr>
          <m:t>=</m:t>
        </m:r>
        <m:r>
          <m:t>0</m:t>
        </m:r>
      </m:oMath>
      <w:r>
        <w:t xml:space="preserve">), obținem un contur închis</w:t>
      </w:r>
      <w:r>
        <w:t xml:space="preserve"> </w:t>
      </w:r>
      <m:oMath>
        <m:r>
          <m:rPr>
            <m:sty m:val="p"/>
          </m:rPr>
          <m:t>Π</m:t>
        </m:r>
      </m:oMath>
      <w:r>
        <w:t xml:space="preserve">.</w:t>
      </w:r>
    </w:p>
    <w:p>
      <w:pPr>
        <w:pStyle w:val="BodyText"/>
      </w:pPr>
      <w:r>
        <w:t xml:space="preserve">Circulația câmpului pe conturul</w:t>
      </w:r>
      <w:r>
        <w:t xml:space="preserve"> </w:t>
      </w:r>
      <m:oMath>
        <m:r>
          <m:rPr>
            <m:sty m:val="p"/>
          </m:rPr>
          <m:t>Π</m:t>
        </m:r>
      </m:oMath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eqArr>
            <m:e>
              <m:nary>
                <m:naryPr>
                  <m:chr m:val="∮"/>
                  <m:limLoc m:val="subSup"/>
                  <m:subHide m:val="off"/>
                  <m:supHide m:val="on"/>
                </m:naryPr>
                <m:sub>
                  <m:r>
                    <m:rPr>
                      <m:sty m:val="p"/>
                    </m:rPr>
                    <m:t>Π</m:t>
                  </m:r>
                </m:sub>
                <m:sup>
                  <m:r>
                    <m:t>​</m:t>
                  </m:r>
                </m:sup>
                <m:e>
                  <m:acc>
                    <m:accPr>
                      <m:chr m:val="⃗"/>
                    </m:accPr>
                    <m:e>
                      <m:r>
                        <m:t>E</m:t>
                      </m:r>
                    </m:e>
                  </m:acc>
                </m:e>
              </m:nary>
              <m:r>
                <m:rPr>
                  <m:sty m:val="p"/>
                </m:rPr>
                <m:t>⋅</m:t>
              </m:r>
              <m:r>
                <m:t>d</m:t>
              </m:r>
              <m:acc>
                <m:accPr>
                  <m:chr m:val="⃗"/>
                </m:accPr>
                <m:e>
                  <m:r>
                    <m:t>r</m:t>
                  </m:r>
                </m:e>
              </m:acc>
              <m:r>
                <m:t>&amp;</m:t>
              </m:r>
              <m:r>
                <m:rPr>
                  <m:sty m:val="p"/>
                </m:rPr>
                <m:t>=</m:t>
              </m:r>
              <m:limLow>
                <m:e>
                  <m:limLow>
                    <m:e>
                      <m:nary>
                        <m:naryPr>
                          <m:chr m:val="∫"/>
                          <m:limLoc m:val="subSup"/>
                          <m:subHide m:val="off"/>
                          <m:supHide m:val="on"/>
                        </m:naryPr>
                        <m:sub>
                          <m:r>
                            <m:rPr>
                              <m:nor/>
                              <m:sty m:val="p"/>
                            </m:rPr>
                            <m:t>(cavitate)</m:t>
                          </m:r>
                        </m:sub>
                        <m:sup>
                          <m:r>
                            <m:t>​</m:t>
                          </m:r>
                        </m:sup>
                        <m:e>
                          <m:acc>
                            <m:accPr>
                              <m:chr m:val="⃗"/>
                            </m:accPr>
                            <m:e>
                              <m:r>
                                <m:t>E</m:t>
                              </m:r>
                            </m:e>
                          </m:acc>
                        </m:e>
                      </m:nary>
                      <m:r>
                        <m:rPr>
                          <m:sty m:val="p"/>
                        </m:rPr>
                        <m:t>⋅</m:t>
                      </m:r>
                      <m:r>
                        <m:t>d</m:t>
                      </m:r>
                      <m:acc>
                        <m:accPr>
                          <m:chr m:val="⃗"/>
                        </m:accPr>
                        <m:e>
                          <m:r>
                            <m:t>r</m:t>
                          </m:r>
                        </m:e>
                      </m:acc>
                    </m:e>
                    <m:lim>
                      <m:r>
                        <m:rPr>
                          <m:sty m:val="p"/>
                        </m:rPr>
                        <m:t>⏟</m:t>
                      </m:r>
                    </m:lim>
                  </m:limLow>
                </m:e>
                <m:lim>
                  <m:r>
                    <m:rPr>
                      <m:sty m:val="p"/>
                    </m:rPr>
                    <m:t>≠</m:t>
                  </m:r>
                  <m:r>
                    <m:t>0</m:t>
                  </m:r>
                </m:lim>
              </m:limLow>
              <m:r>
                <m:rPr>
                  <m:sty m:val="p"/>
                </m:rPr>
                <m:t>+</m:t>
              </m:r>
              <m:limLow>
                <m:e>
                  <m:limLow>
                    <m:e>
                      <m:nary>
                        <m:naryPr>
                          <m:chr m:val="∫"/>
                          <m:limLoc m:val="subSup"/>
                          <m:subHide m:val="off"/>
                          <m:supHide m:val="on"/>
                        </m:naryPr>
                        <m:sub>
                          <m:r>
                            <m:rPr>
                              <m:nor/>
                              <m:sty m:val="p"/>
                            </m:rPr>
                            <m:t>(prin metal)</m:t>
                          </m:r>
                        </m:sub>
                        <m:sup>
                          <m:r>
                            <m:t>​</m:t>
                          </m:r>
                        </m:sup>
                        <m:e>
                          <m:acc>
                            <m:accPr>
                              <m:chr m:val="⃗"/>
                            </m:accPr>
                            <m:e>
                              <m:r>
                                <m:t>E</m:t>
                              </m:r>
                            </m:e>
                          </m:acc>
                        </m:e>
                      </m:nary>
                      <m:r>
                        <m:rPr>
                          <m:sty m:val="p"/>
                        </m:rPr>
                        <m:t>⋅</m:t>
                      </m:r>
                      <m:r>
                        <m:t>d</m:t>
                      </m:r>
                      <m:acc>
                        <m:accPr>
                          <m:chr m:val="⃗"/>
                        </m:accPr>
                        <m:e>
                          <m:r>
                            <m:t>r</m:t>
                          </m:r>
                        </m:e>
                      </m:acc>
                    </m:e>
                    <m:lim>
                      <m:r>
                        <m:rPr>
                          <m:sty m:val="p"/>
                        </m:rPr>
                        <m:t>⏟</m:t>
                      </m:r>
                    </m:lim>
                  </m:limLow>
                </m:e>
                <m:lim>
                  <m:r>
                    <m:rPr>
                      <m:sty m:val="p"/>
                    </m:rPr>
                    <m:t>=</m:t>
                  </m:r>
                  <m:r>
                    <m:t> </m:t>
                  </m:r>
                  <m:r>
                    <m:t>0</m:t>
                  </m:r>
                </m:lim>
              </m:limLow>
              <m:r>
                <m:rPr>
                  <m:sty m:val="p"/>
                </m:rPr>
                <m:t>=</m:t>
              </m:r>
              <m:r>
                <m:t>0</m:t>
              </m:r>
            </m:e>
          </m:eqArr>
        </m:oMath>
      </m:oMathPara>
    </w:p>
    <w:p>
      <w:pPr>
        <w:pStyle w:val="FirstParagraph"/>
      </w:pPr>
      <w:r>
        <w:t xml:space="preserve">Dar pentru câmpul electrostatic știm că</w:t>
      </w:r>
      <w:r>
        <w:t xml:space="preserve"> </w:t>
      </w:r>
      <m:oMath>
        <m:r>
          <m:rPr>
            <m:sty m:val="p"/>
          </m:rPr>
          <m:t>∮</m:t>
        </m:r>
        <m:acc>
          <m:accPr>
            <m:chr m:val="⃗"/>
          </m:accPr>
          <m:e>
            <m:r>
              <m:t>E</m:t>
            </m:r>
          </m:e>
        </m:acc>
        <m:r>
          <m:rPr>
            <m:sty m:val="p"/>
          </m:rPr>
          <m:t>⋅</m:t>
        </m:r>
        <m:r>
          <m:t>d</m:t>
        </m:r>
        <m:acc>
          <m:accPr>
            <m:chr m:val="⃗"/>
          </m:accPr>
          <m:e>
            <m:r>
              <m:t>r</m:t>
            </m:r>
          </m:e>
        </m:acc>
        <m:r>
          <m:rPr>
            <m:sty m:val="p"/>
          </m:rPr>
          <m:t>=</m:t>
        </m:r>
        <m:r>
          <m:t>0</m:t>
        </m:r>
      </m:oMath>
      <w:r>
        <w:t xml:space="preserve">. Dacă ar exista câmp în cavitate, circulația nu ar putea fi zero -</w:t>
      </w:r>
      <w:r>
        <w:t xml:space="preserve"> </w:t>
      </w:r>
      <w:r>
        <w:rPr>
          <w:b/>
          <w:bCs/>
        </w:rPr>
        <w:t xml:space="preserve">contradicție</w:t>
      </w:r>
      <w:r>
        <w:t xml:space="preserve">. Deci: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acc>
                <m:accPr>
                  <m:chr m:val="⃗"/>
                </m:accPr>
                <m:e>
                  <m:r>
                    <m:t>E</m:t>
                  </m:r>
                </m:e>
              </m:acc>
            </m:e>
            <m:sub>
              <m:r>
                <m:rPr>
                  <m:nor/>
                  <m:sty m:val="p"/>
                </m:rPr>
                <m:t>cav</m:t>
              </m:r>
            </m:sub>
          </m:sSub>
          <m:r>
            <m:rPr>
              <m:sty m:val="p"/>
            </m:rPr>
            <m:t>=</m:t>
          </m:r>
          <m:r>
            <m:t>0</m:t>
          </m:r>
        </m:oMath>
      </m:oMathPara>
    </w:p>
    <w:p>
      <w:pPr>
        <w:pStyle w:val="FirstParagraph"/>
      </w:pPr>
      <w:r>
        <w:t xml:space="preserve">Nu există câmp electric (și nici sarcini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sau</w:t>
      </w:r>
      <w:r>
        <w:t xml:space="preserve"> </w:t>
      </w:r>
      <m:oMath>
        <m:r>
          <m:rPr>
            <m:sty m:val="p"/>
          </m:rPr>
          <m:t>−</m:t>
        </m:r>
      </m:oMath>
      <w:r>
        <w:t xml:space="preserve">) în cavitatea unui conductor la echilibru electrostatic. Pe suprafața interioară nu se acumulează sarcină electrică.</w:t>
      </w:r>
    </w:p>
    <w:bookmarkEnd w:id="37"/>
    <w:bookmarkEnd w:id="38"/>
    <w:bookmarkStart w:id="44" w:name="X759edc7c7c6bbf7e0827484b9e612bf07920a5c"/>
    <w:p>
      <w:pPr>
        <w:pStyle w:val="Heading2"/>
      </w:pPr>
      <w:r>
        <w:t xml:space="preserve">Cușca Faraday și ecranarea electrostatică</w:t>
      </w:r>
    </w:p>
    <w:bookmarkStart w:id="39" w:name="michael-faraday"/>
    <w:p>
      <w:pPr>
        <w:pStyle w:val="Heading3"/>
      </w:pPr>
      <w:r>
        <w:t xml:space="preserve">Michael Faraday</w:t>
      </w:r>
    </w:p>
    <w:p>
      <w:pPr>
        <w:pStyle w:val="FirstParagraph"/>
      </w:pPr>
      <w:r>
        <w:t xml:space="preserve">Michael Faraday (fizician și chimist englez) a descoperit legea inducției electromagnetice în 1831 și a demonstrat experimental principiul cușcii în 1836:</w:t>
      </w:r>
    </w:p>
    <w:p>
      <w:pPr>
        <w:pStyle w:val="Compact"/>
        <w:numPr>
          <w:ilvl w:val="0"/>
          <w:numId w:val="1004"/>
        </w:numPr>
      </w:pPr>
      <w:r>
        <w:t xml:space="preserve">A căptușit o încăpere cu folie metalică și a intrat în interior în timp ce descărcări electrice de înaltă tensiune, produse de un generator electrostatic de laborator, loveau exteriorul incintei - nu era vorba despre fulgere din atmosferă, ci despre scântei produse deliberat, în laborator.</w:t>
      </w:r>
    </w:p>
    <w:p>
      <w:pPr>
        <w:pStyle w:val="Compact"/>
        <w:numPr>
          <w:ilvl w:val="0"/>
          <w:numId w:val="1004"/>
        </w:numPr>
      </w:pPr>
      <w:r>
        <w:t xml:space="preserve">Cu un electroscop a arătat că nicio sarcină nu ajungea pe pereții interiori. Deoarece în cavitate</w:t>
      </w:r>
      <w:r>
        <w:t xml:space="preserve"> </w:t>
      </w:r>
      <m:oMath>
        <m:acc>
          <m:accPr>
            <m:chr m:val="⃗"/>
          </m:accPr>
          <m:e>
            <m:r>
              <m:t>E</m:t>
            </m:r>
          </m:e>
        </m:acc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- exact rezultatul demonstrat mai sus - a rămas complet neafectat.</w:t>
      </w:r>
    </w:p>
    <w:bookmarkEnd w:id="39"/>
    <w:bookmarkStart w:id="43" w:name="X0aee0c0f8f1724f58c84820fd9527d9e52e1cf1"/>
    <w:p>
      <w:pPr>
        <w:pStyle w:val="Heading3"/>
      </w:pPr>
      <w:r>
        <w:t xml:space="preserve">Principiul cușcii Faraday (ecranare de la exterior spre interior)</w:t>
      </w:r>
    </w:p>
    <w:p>
      <w:pPr>
        <w:pStyle w:val="CaptionedFigure"/>
      </w:pPr>
      <w:r>
        <w:drawing>
          <wp:inline>
            <wp:extent cx="2219325" cy="1647825"/>
            <wp:effectExtent b="0" l="0" r="0" t="0"/>
            <wp:docPr descr="Cușcă Faraday: câmp extern uniform, polarizarea suprafeței exterioare a conductorului, câmp nul în cavitate." title="" id="41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figures/c05_cusca_faraday.svg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Cușcă Faraday: câmp extern uniform, polarizarea suprafeței exterioare a conductorului, câmp nul în cavitate.</w:t>
      </w:r>
    </w:p>
    <w:p>
      <w:pPr>
        <w:pStyle w:val="BodyText"/>
      </w:pPr>
      <w:r>
        <w:t xml:space="preserve">Demonstrația de mai sus, pentru</w:t>
      </w:r>
      <w:r>
        <w:t xml:space="preserve"> </w:t>
      </w:r>
      <m:oMath>
        <m:sSub>
          <m:e>
            <m:acc>
              <m:accPr>
                <m:chr m:val="⃗"/>
              </m:accPr>
              <m:e>
                <m:r>
                  <m:t>E</m:t>
                </m:r>
              </m:e>
            </m:acc>
          </m:e>
          <m:sub>
            <m:r>
              <m:rPr>
                <m:nor/>
                <m:sty m:val="p"/>
              </m:rPr>
              <m:t>cav</m:t>
            </m:r>
          </m:sub>
        </m:sSub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într-o cavitate goală, nu a folosit nicio ipoteză despre ce se află</w:t>
      </w:r>
      <w:r>
        <w:t xml:space="preserve"> </w:t>
      </w:r>
      <w:r>
        <w:rPr>
          <w:i/>
          <w:iCs/>
        </w:rPr>
        <w:t xml:space="preserve">în afara</w:t>
      </w:r>
      <w:r>
        <w:t xml:space="preserve"> </w:t>
      </w:r>
      <w:r>
        <w:t xml:space="preserve">metalului - doar faptul că</w:t>
      </w:r>
      <w:r>
        <w:t xml:space="preserve"> </w:t>
      </w:r>
      <m:oMath>
        <m:acc>
          <m:accPr>
            <m:chr m:val="⃗"/>
          </m:accPr>
          <m:e>
            <m:r>
              <m:t>E</m:t>
            </m:r>
          </m:e>
        </m:acc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în metalul însuși. Ea rămâne deci valabilă oricare ar fi originea câmpului exterior, fie el produs de o sarcină izolată, fie de un câmp uniform aplicat asupra cușcii din exterior: putem încerca să producem câmp în interior printr-un câmp extern, dar câmpul extern și câmpul produs de distribuția de sarcini induse pe suprafața exterioară se</w:t>
      </w:r>
      <w:r>
        <w:t xml:space="preserve"> </w:t>
      </w:r>
      <w:r>
        <w:rPr>
          <w:b/>
          <w:bCs/>
        </w:rPr>
        <w:t xml:space="preserve">anulează</w:t>
      </w:r>
      <w:r>
        <w:t xml:space="preserve"> </w:t>
      </w:r>
      <w:r>
        <w:t xml:space="preserve">reciproc în interior.</w:t>
      </w:r>
    </w:p>
    <w:p>
      <w:pPr>
        <w:pStyle w:val="BlockText"/>
      </w:pPr>
      <w:r>
        <w:rPr>
          <w:b/>
          <w:bCs/>
        </w:rPr>
        <w:t xml:space="preserve">Concluzie:</w:t>
      </w:r>
      <w:r>
        <w:t xml:space="preserve"> </w:t>
      </w:r>
      <w:r>
        <w:t xml:space="preserve">Nicio distribuție de sarcină electrică din exteriorul metalului nu poate produce un câmp total</w:t>
      </w:r>
      <w:r>
        <w:t xml:space="preserve"> </w:t>
      </w:r>
      <m:oMath>
        <m:acc>
          <m:accPr>
            <m:chr m:val="⃗"/>
          </m:accPr>
          <m:e>
            <m:r>
              <m:t>E</m:t>
            </m:r>
          </m:e>
        </m:acc>
        <m:r>
          <m:rPr>
            <m:sty m:val="p"/>
          </m:rPr>
          <m:t>≠</m:t>
        </m:r>
        <m:r>
          <m:t>0</m:t>
        </m:r>
      </m:oMath>
      <w:r>
        <w:t xml:space="preserve"> </w:t>
      </w:r>
      <w:r>
        <w:t xml:space="preserve">în cavitate. Întotdeauna</w:t>
      </w:r>
      <w:r>
        <w:t xml:space="preserve"> </w:t>
      </w:r>
      <m:oMath>
        <m:sSub>
          <m:e>
            <m:acc>
              <m:accPr>
                <m:chr m:val="⃗"/>
              </m:accPr>
              <m:e>
                <m:r>
                  <m:t>E</m:t>
                </m:r>
              </m:e>
            </m:acc>
          </m:e>
          <m:sub>
            <m:r>
              <m:rPr>
                <m:nor/>
                <m:sty m:val="p"/>
              </m:rPr>
              <m:t>cavitate</m:t>
            </m:r>
          </m:sub>
        </m:sSub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FirstParagraph"/>
      </w:pPr>
      <w:r>
        <w:t xml:space="preserve">Se spune că un metal cu cavitate</w:t>
      </w:r>
      <w:r>
        <w:t xml:space="preserve"> </w:t>
      </w:r>
      <w:r>
        <w:rPr>
          <w:b/>
          <w:bCs/>
        </w:rPr>
        <w:t xml:space="preserve">ecranează</w:t>
      </w:r>
      <w:r>
        <w:t xml:space="preserve"> </w:t>
      </w:r>
      <w:r>
        <w:t xml:space="preserve">(cușcă Faraday) influențele electrice de la exterior spre interior.</w:t>
      </w:r>
      <w:r>
        <w:t xml:space="preserve"> </w:t>
      </w:r>
      <w:r>
        <w:rPr>
          <w:i/>
          <w:iCs/>
        </w:rPr>
        <w:t xml:space="preserve">În interior suntem protejați.</w:t>
      </w:r>
    </w:p>
    <w:bookmarkEnd w:id="43"/>
    <w:bookmarkEnd w:id="44"/>
    <w:bookmarkStart w:id="53" w:name="X5d00a31dda12c849fdf2023c81e099994ac398d"/>
    <w:p>
      <w:pPr>
        <w:pStyle w:val="Heading2"/>
      </w:pPr>
      <w:r>
        <w:t xml:space="preserve">Problema inversă: sarcină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plasată în interiorul cușcii</w:t>
      </w:r>
    </w:p>
    <w:p>
      <w:pPr>
        <w:pStyle w:val="FirstParagraph"/>
      </w:pPr>
      <w:r>
        <w:rPr>
          <w:b/>
          <w:bCs/>
        </w:rPr>
        <w:t xml:space="preserve">Întrebare:</w:t>
      </w:r>
      <w:r>
        <w:t xml:space="preserve"> </w:t>
      </w:r>
      <w:r>
        <w:t xml:space="preserve">Dacă intrăm în cușcă cu o sarcină</w:t>
      </w:r>
      <w:r>
        <w:t xml:space="preserve"> </w:t>
      </w:r>
      <m:oMath>
        <m:r>
          <m:t>Q</m:t>
        </m:r>
      </m:oMath>
      <w:r>
        <w:t xml:space="preserve">, se va crea câmp electric în afara cușcii?</w:t>
      </w:r>
    </w:p>
    <w:bookmarkStart w:id="48" w:name="analiza-cu-suprafețe-gaussiene"/>
    <w:p>
      <w:pPr>
        <w:pStyle w:val="Heading3"/>
      </w:pPr>
      <w:r>
        <w:t xml:space="preserve">Analiza cu suprafețe gaussiene</w:t>
      </w:r>
    </w:p>
    <w:p>
      <w:pPr>
        <w:pStyle w:val="FirstParagraph"/>
      </w:pPr>
      <w:r>
        <w:t xml:space="preserve">Fie sarcina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plasată în cavitate. La echilibru electrostatic, alegem</w:t>
      </w:r>
      <w:r>
        <w:t xml:space="preserve"> </w:t>
      </w:r>
      <m:oMath>
        <m:r>
          <m:rPr>
            <m:sty m:val="p"/>
          </m:rPr>
          <m:t>Σ</m:t>
        </m:r>
      </m:oMath>
      <w:r>
        <w:t xml:space="preserve"> </w:t>
      </w:r>
      <w:r>
        <w:t xml:space="preserve">complet în metalul conductorului:</w:t>
      </w:r>
    </w:p>
    <w:p>
      <w:pPr>
        <w:pStyle w:val="BodyText"/>
      </w:pPr>
      <m:oMathPara>
        <m:oMathParaPr>
          <m:jc m:val="center"/>
        </m:oMathParaPr>
        <m:oMath>
          <m:eqArr>
            <m:e>
              <m:sSub>
                <m:e>
                  <m:r>
                    <m:rPr>
                      <m:sty m:val="p"/>
                    </m:rPr>
                    <m:t>Φ</m:t>
                  </m:r>
                </m:e>
                <m:sub>
                  <m:r>
                    <m:rPr>
                      <m:sty m:val="p"/>
                    </m:rPr>
                    <m:t>Σ</m:t>
                  </m:r>
                </m:sub>
              </m:sSub>
              <m:r>
                <m:t>&amp;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sSub>
                    <m:e>
                      <m:r>
                        <m:t>Q</m:t>
                      </m:r>
                    </m:e>
                    <m:sub>
                      <m:r>
                        <m:rPr>
                          <m:nor/>
                          <m:sty m:val="p"/>
                        </m:rPr>
                        <m:t>int</m:t>
                      </m:r>
                    </m:sub>
                  </m:sSub>
                </m:num>
                <m:den>
                  <m:sSub>
                    <m:e>
                      <m:r>
                        <m:t>ε</m:t>
                      </m:r>
                    </m:e>
                    <m:sub>
                      <m:r>
                        <m:t>0</m:t>
                      </m:r>
                    </m:sub>
                  </m:sSub>
                </m:den>
              </m:f>
              <m:r>
                <m:rPr>
                  <m:sty m:val="p"/>
                </m:rPr>
                <m:t>=</m:t>
              </m:r>
              <m:r>
                <m:t>0</m:t>
              </m:r>
              <m:r>
                <m:t> </m:t>
              </m:r>
              <m:r>
                <m:rPr>
                  <m:sty m:val="p"/>
                </m:rPr>
                <m:t>(</m:t>
              </m:r>
              <m:r>
                <m:rPr>
                  <m:nor/>
                  <m:sty m:val="p"/>
                </m:rPr>
                <m:t>deoarece </m:t>
              </m:r>
              <m:acc>
                <m:accPr>
                  <m:chr m:val="⃗"/>
                </m:accPr>
                <m:e>
                  <m:r>
                    <m:t>E</m:t>
                  </m:r>
                </m:e>
              </m:acc>
              <m:r>
                <m:rPr>
                  <m:sty m:val="p"/>
                </m:rPr>
                <m:t>=</m:t>
              </m:r>
              <m:r>
                <m:t>0</m:t>
              </m:r>
              <m:r>
                <m:rPr>
                  <m:nor/>
                  <m:sty m:val="p"/>
                </m:rPr>
                <m:t> în metal</m:t>
              </m:r>
              <m:r>
                <m:rPr>
                  <m:sty m:val="p"/>
                </m:rPr>
                <m:t>)</m:t>
              </m:r>
            </m:e>
            <m:e>
              <m:sSub>
                <m:e>
                  <m:r>
                    <m:t>Q</m:t>
                  </m:r>
                </m:e>
                <m:sub>
                  <m:r>
                    <m:rPr>
                      <m:nor/>
                      <m:sty m:val="p"/>
                    </m:rPr>
                    <m:t>int</m:t>
                  </m:r>
                </m:sub>
              </m:sSub>
              <m:r>
                <m:t>&amp;</m:t>
              </m:r>
              <m:r>
                <m:rPr>
                  <m:sty m:val="p"/>
                </m:rPr>
                <m:t>=</m:t>
              </m:r>
              <m:r>
                <m:t>Q</m:t>
              </m:r>
              <m:r>
                <m:rPr>
                  <m:sty m:val="p"/>
                </m:rPr>
                <m:t>+</m:t>
              </m:r>
              <m:sSub>
                <m:e>
                  <m:r>
                    <m:t>Q</m:t>
                  </m:r>
                </m:e>
                <m:sub>
                  <m:r>
                    <m:rPr>
                      <m:nor/>
                      <m:sty m:val="p"/>
                    </m:rPr>
                    <m:t>suprafață interioară</m:t>
                  </m:r>
                </m:sub>
              </m:sSub>
              <m:r>
                <m:rPr>
                  <m:sty m:val="p"/>
                </m:rPr>
                <m:t>=</m:t>
              </m:r>
              <m:r>
                <m:t>0</m:t>
              </m:r>
            </m:e>
            <m:e>
              <m:r>
                <m:rPr>
                  <m:sty m:val="p"/>
                </m:rPr>
                <m:t>⇒</m:t>
              </m:r>
              <m:r>
                <m:t> </m:t>
              </m:r>
              <m:sSub>
                <m:e>
                  <m:r>
                    <m:t>Q</m:t>
                  </m:r>
                </m:e>
                <m:sub>
                  <m:r>
                    <m:rPr>
                      <m:nor/>
                      <m:sty m:val="p"/>
                    </m:rPr>
                    <m:t>suprafață interioară</m:t>
                  </m:r>
                </m:sub>
              </m:sSub>
              <m:r>
                <m:t>&amp;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Q</m:t>
              </m:r>
            </m:e>
          </m:eqArr>
        </m:oMath>
      </m:oMathPara>
    </w:p>
    <w:p>
      <w:pPr>
        <w:pStyle w:val="FirstParagraph"/>
      </w:pPr>
      <w:r>
        <w:t xml:space="preserve">Pe suprafața interioară a cavității apare sarcina indusă</w:t>
      </w:r>
      <w:r>
        <w:t xml:space="preserve"> </w:t>
      </w:r>
      <m:oMath>
        <m:r>
          <m:rPr>
            <m:sty m:val="p"/>
          </m:rPr>
          <m:t>−</m:t>
        </m:r>
        <m:r>
          <m:t>Q</m:t>
        </m:r>
      </m:oMath>
      <w:r>
        <w:t xml:space="preserve">.</w:t>
      </w:r>
    </w:p>
    <w:p>
      <w:pPr>
        <w:pStyle w:val="BodyText"/>
      </w:pPr>
      <w:r>
        <w:t xml:space="preserve">Deoarece metalul era inițial neutru, pe suprafața exterioară apare sarcina</w:t>
      </w:r>
      <w:r>
        <w:t xml:space="preserve"> </w:t>
      </w:r>
      <m:oMath>
        <m:r>
          <m:rPr>
            <m:sty m:val="p"/>
          </m:rPr>
          <m:t>+</m:t>
        </m:r>
        <m:r>
          <m:t>Q</m:t>
        </m:r>
      </m:oMath>
      <w:r>
        <w:t xml:space="preserve">.</w:t>
      </w:r>
    </w:p>
    <w:p>
      <w:pPr>
        <w:pStyle w:val="BodyText"/>
      </w:pPr>
      <w:r>
        <w:t xml:space="preserve">Acum alegem o suprafață gaussiană</w:t>
      </w:r>
      <w:r>
        <w:t xml:space="preserve"> </w:t>
      </w:r>
      <m:oMath>
        <m:sSub>
          <m:e>
            <m:r>
              <m:rPr>
                <m:sty m:val="p"/>
              </m:rPr>
              <m:t>Σ</m:t>
            </m:r>
          </m:e>
          <m:sub>
            <m:r>
              <m:rPr>
                <m:nor/>
                <m:sty m:val="p"/>
              </m:rPr>
              <m:t>ext</m:t>
            </m:r>
          </m:sub>
        </m:sSub>
      </m:oMath>
      <w:r>
        <w:t xml:space="preserve"> </w:t>
      </w:r>
      <w:r>
        <w:t xml:space="preserve">care cuprinde tot metalul: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rPr>
                  <m:sty m:val="p"/>
                </m:rPr>
                <m:t>Φ</m:t>
              </m:r>
            </m:e>
            <m:sub>
              <m:sSub>
                <m:e>
                  <m:r>
                    <m:rPr>
                      <m:sty m:val="p"/>
                    </m:rPr>
                    <m:t>Σ</m:t>
                  </m:r>
                </m:e>
                <m:sub>
                  <m:r>
                    <m:rPr>
                      <m:nor/>
                      <m:sty m:val="p"/>
                    </m:rPr>
                    <m:t>ext</m:t>
                  </m:r>
                </m:sub>
              </m:sSub>
            </m:sub>
          </m:sSub>
          <m:r>
            <m:rPr>
              <m:sty m:val="p"/>
            </m:rPr>
            <m:t>=</m:t>
          </m:r>
          <m:nary>
            <m:naryPr>
              <m:chr m:val="∯"/>
              <m:limLoc m:val="subSup"/>
              <m:subHide m:val="off"/>
              <m:supHide m:val="on"/>
            </m:naryPr>
            <m:sub>
              <m:sSub>
                <m:e>
                  <m:r>
                    <m:rPr>
                      <m:sty m:val="p"/>
                    </m:rPr>
                    <m:t>Σ</m:t>
                  </m:r>
                </m:e>
                <m:sub>
                  <m:r>
                    <m:rPr>
                      <m:nor/>
                      <m:sty m:val="p"/>
                    </m:rPr>
                    <m:t>ext</m:t>
                  </m:r>
                </m:sub>
              </m:sSub>
            </m:sub>
            <m:sup>
              <m:r>
                <m:t>​</m:t>
              </m:r>
            </m:sup>
            <m:e>
              <m:acc>
                <m:accPr>
                  <m:chr m:val="⃗"/>
                </m:accPr>
                <m:e>
                  <m:r>
                    <m:t>E</m:t>
                  </m:r>
                </m:e>
              </m:acc>
            </m:e>
          </m:nary>
          <m:r>
            <m:rPr>
              <m:sty m:val="p"/>
            </m:rPr>
            <m:t>⋅</m:t>
          </m:r>
          <m:acc>
            <m:accPr>
              <m:chr m:val="̂"/>
            </m:accPr>
            <m:e>
              <m:r>
                <m:t>n</m:t>
              </m:r>
            </m:e>
          </m:acc>
          <m:r>
            <m:t> </m:t>
          </m:r>
          <m:r>
            <m:t>d</m:t>
          </m:r>
          <m:r>
            <m:t>S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Q</m:t>
              </m:r>
              <m:r>
                <m:rPr>
                  <m:sty m:val="p"/>
                </m:rPr>
                <m:t>+</m:t>
              </m:r>
              <m:r>
                <m:rPr>
                  <m:sty m:val="p"/>
                </m:rPr>
                <m:t>(</m:t>
              </m:r>
              <m:r>
                <m:rPr>
                  <m:sty m:val="p"/>
                </m:rPr>
                <m:t>−</m:t>
              </m:r>
              <m:r>
                <m:t>Q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+</m:t>
              </m:r>
              <m:r>
                <m:t>Q</m:t>
              </m:r>
            </m:num>
            <m:den>
              <m:sSub>
                <m:e>
                  <m:r>
                    <m:t>ε</m:t>
                  </m:r>
                </m:e>
                <m:sub>
                  <m:r>
                    <m:t>0</m:t>
                  </m:r>
                </m:sub>
              </m:sSub>
            </m:den>
          </m:f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Q</m:t>
              </m:r>
            </m:num>
            <m:den>
              <m:sSub>
                <m:e>
                  <m:r>
                    <m:t>ε</m:t>
                  </m:r>
                </m:e>
                <m:sub>
                  <m:r>
                    <m:t>0</m:t>
                  </m:r>
                </m:sub>
              </m:sSub>
            </m:den>
          </m:f>
          <m:r>
            <m:rPr>
              <m:sty m:val="p"/>
            </m:rPr>
            <m:t>≠</m:t>
          </m:r>
          <m:r>
            <m:t>0</m:t>
          </m:r>
        </m:oMath>
      </m:oMathPara>
    </w:p>
    <w:p>
      <w:pPr>
        <w:pStyle w:val="FirstParagraph"/>
      </w:pPr>
      <w:r>
        <w:t xml:space="preserve">Deci</w:t>
      </w:r>
      <w:r>
        <w:t xml:space="preserve"> </w:t>
      </w:r>
      <w:r>
        <w:rPr>
          <w:b/>
          <w:bCs/>
        </w:rPr>
        <w:t xml:space="preserve">există câmp în exterior</w:t>
      </w:r>
      <w:r>
        <w:t xml:space="preserve"> </w:t>
      </w:r>
      <w:r>
        <w:t xml:space="preserve">- metalul</w:t>
      </w:r>
      <w:r>
        <w:t xml:space="preserve"> </w:t>
      </w:r>
      <w:r>
        <w:rPr>
          <w:b/>
          <w:bCs/>
        </w:rPr>
        <w:t xml:space="preserve">nu ecranează</w:t>
      </w:r>
      <w:r>
        <w:t xml:space="preserve"> </w:t>
      </w:r>
      <w:r>
        <w:t xml:space="preserve">de la interior spre exterior.</w:t>
      </w:r>
    </w:p>
    <w:p>
      <w:pPr>
        <w:pStyle w:val="CaptionedFigure"/>
      </w:pPr>
      <w:r>
        <w:drawing>
          <wp:inline>
            <wp:extent cx="2362200" cy="1743075"/>
            <wp:effectExtent b="0" l="0" r="0" t="0"/>
            <wp:docPr descr="Sarcina Q în cavitate; suprafața gaussiană Σ în metal (E = 0); sarcina indusă −Q pe suprafața interioară; flux exterior nenul prin Σ_ext." title="" id="46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figures/c05_sarcina_in_cusca.svg" id="47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Sarcina Q în cavitate; suprafața gaussiană Σ în metal (E = 0); sarcina indusă −Q pe suprafața interioară; flux exterior nenul prin Σ_ext.</w:t>
      </w:r>
    </w:p>
    <w:bookmarkEnd w:id="48"/>
    <w:bookmarkStart w:id="52" w:name="ecranare-bilaterală-prin-împământare"/>
    <w:p>
      <w:pPr>
        <w:pStyle w:val="Heading3"/>
      </w:pPr>
      <w:r>
        <w:t xml:space="preserve">Ecranare bilaterală prin împământare</w:t>
      </w:r>
    </w:p>
    <w:p>
      <w:pPr>
        <w:pStyle w:val="FirstParagraph"/>
      </w:pPr>
      <w:r>
        <w:t xml:space="preserve">Putem realiza ecranare și în sens invers (interior spre exterior) prin</w:t>
      </w:r>
      <w:r>
        <w:t xml:space="preserve"> </w:t>
      </w:r>
      <w:r>
        <w:rPr>
          <w:b/>
          <w:bCs/>
        </w:rPr>
        <w:t xml:space="preserve">împământare</w:t>
      </w:r>
      <w:r>
        <w:t xml:space="preserve">:</w:t>
      </w:r>
    </w:p>
    <w:p>
      <w:pPr>
        <w:pStyle w:val="Compact"/>
        <w:numPr>
          <w:ilvl w:val="0"/>
          <w:numId w:val="1005"/>
        </w:numPr>
      </w:pPr>
      <w:r>
        <w:t xml:space="preserve">Conectând metalul la pământ cu un fir conductor, potențialul metalului devine egal cu cel al pământului.</w:t>
      </w:r>
    </w:p>
    <w:p>
      <w:pPr>
        <w:pStyle w:val="Compact"/>
        <w:numPr>
          <w:ilvl w:val="0"/>
          <w:numId w:val="1005"/>
        </w:numPr>
      </w:pPr>
      <w:r>
        <w:t xml:space="preserve">Sarcina</w:t>
      </w:r>
      <w:r>
        <w:t xml:space="preserve"> </w:t>
      </w:r>
      <m:oMath>
        <m:r>
          <m:rPr>
            <m:sty m:val="p"/>
          </m:rPr>
          <m:t>+</m:t>
        </m:r>
        <m:r>
          <m:t>Q</m:t>
        </m:r>
      </m:oMath>
      <w:r>
        <w:t xml:space="preserve"> </w:t>
      </w:r>
      <w:r>
        <w:t xml:space="preserve">de pe suprafața exterioară este neutralizată complet de electronii care vin de la pământ (pământul este un rezervor imens).</w:t>
      </w:r>
    </w:p>
    <w:p>
      <w:pPr>
        <w:pStyle w:val="Compact"/>
        <w:numPr>
          <w:ilvl w:val="0"/>
          <w:numId w:val="1005"/>
        </w:numPr>
      </w:pPr>
      <w:r>
        <w:t xml:space="preserve">Sarcina netă pe suprafața exterioară devine zero.</w:t>
      </w:r>
    </w:p>
    <w:p>
      <w:pPr>
        <w:pStyle w:val="FirstParagraph"/>
      </w:pPr>
      <w:r>
        <w:t xml:space="preserve">Se obține astfel o configurație care este</w:t>
      </w:r>
      <w:r>
        <w:t xml:space="preserve"> </w:t>
      </w:r>
      <w:r>
        <w:rPr>
          <w:b/>
          <w:bCs/>
        </w:rPr>
        <w:t xml:space="preserve">ecran electrostatic bilateral</w:t>
      </w:r>
      <w:r>
        <w:t xml:space="preserve">: nicio distribuție de sarcină din exterior nu modifică câmpul din interior, și nicio distribuție din interior nu modifică câmpul din exterior.</w:t>
      </w:r>
    </w:p>
    <w:p>
      <w:pPr>
        <w:pStyle w:val="CaptionedFigure"/>
      </w:pPr>
      <w:r>
        <w:drawing>
          <wp:inline>
            <wp:extent cx="1752600" cy="1590675"/>
            <wp:effectExtent b="0" l="0" r="0" t="0"/>
            <wp:docPr descr="Ecran electrostatic bilateral: conductor cu cavitate și sarcina Q în interior, conectat la pământ; câmpul exterior este zero." title="" id="50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figures/c05_ecran_bilateral.svg" id="5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Ecran electrostatic bilateral: conductor cu cavitate și sarcina Q în interior, conectat la pământ; câmpul exterior este zero.</w:t>
      </w:r>
    </w:p>
    <w:p>
      <w:pPr>
        <w:pStyle w:val="BodyText"/>
      </w:pPr>
      <w:r>
        <w:rPr>
          <w:b/>
          <w:bCs/>
        </w:rPr>
        <w:t xml:space="preserve">Concluzie generală: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Fără împământare:</w:t>
      </w:r>
      <w:r>
        <w:t xml:space="preserve"> </w:t>
      </w:r>
      <w:r>
        <w:t xml:space="preserve">cușca Faraday ecranează doar de la exterior spre interior (câmpul exterior nu pătrunde în cavitate).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Cu împământare:</w:t>
      </w:r>
      <w:r>
        <w:t xml:space="preserve"> </w:t>
      </w:r>
      <w:r>
        <w:t xml:space="preserve">ecranare bilaterală - câmpul interior nu influențează exteriorul și câmpul exterior nu influențează interiorul.</w:t>
      </w:r>
    </w:p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ro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34" Target="media/rId34.svg" /><Relationship Type="http://schemas.openxmlformats.org/officeDocument/2006/relationships/image" Id="rId40" Target="media/rId40.svg" /><Relationship Type="http://schemas.openxmlformats.org/officeDocument/2006/relationships/image" Id="rId49" Target="media/rId49.svg" /><Relationship Type="http://schemas.openxmlformats.org/officeDocument/2006/relationships/image" Id="rId45" Target="media/rId45.svg" /><Relationship Type="http://schemas.openxmlformats.org/officeDocument/2006/relationships/image" Id="rId10" Target="media/rId10.png" /><Relationship Type="http://schemas.openxmlformats.org/officeDocument/2006/relationships/image" Id="rId30" Target="media/rId30.png" /><Relationship Type="http://schemas.openxmlformats.org/officeDocument/2006/relationships/image" Id="rId19" Target="media/rId19.png" /><Relationship Type="http://schemas.openxmlformats.org/officeDocument/2006/relationships/image" Id="rId13" Target="media/rId13.png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Cursul 5: Câmpul la suprafața conductorilor; cavități; cușcă Faraday</dc:title>
  <dc:creator/>
  <cp:keywords/>
  <dcterms:created xsi:type="dcterms:W3CDTF">2026-07-17T12:51:56Z</dcterms:created>
  <dcterms:modified xsi:type="dcterms:W3CDTF">2026-07-17T12:51:56Z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