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31.svg" ContentType="image/svg+xml"/>
  <Override PartName="/word/media/rId13.svg" ContentType="image/svg+xml"/>
  <Override PartName="/word/media/rId47.svg" ContentType="image/svg+xml"/>
  <Override PartName="/word/media/rId43.svg" ContentType="image/svg+xml"/>
  <Override PartName="/word/media/rId9.png" ContentType="image/png"/>
  <Override PartName="/word/media/rId34.png" ContentType="image/png"/>
  <Override PartName="/word/media/rId20.png" ContentType="image/png"/>
  <Override PartName="/word/media/rId26.png" ContentType="image/png"/>
  <Override PartName="/word/media/rId38.png" ContentType="image/png"/>
  <Override PartName="/word/media/rId16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Cursul 4: Ecuația Poisson; conductori la echilibru electrostatic</w:t>
      </w:r>
    </w:p>
    <w:bookmarkStart w:id="12" w:name="recapitulare"/>
    <w:p>
      <w:pPr>
        <w:pStyle w:val="Heading2"/>
      </w:pPr>
      <w:r>
        <w:t xml:space="preserve">Recapitulare</w:t>
      </w:r>
    </w:p>
    <w:p>
      <w:pPr>
        <w:pStyle w:val="FirstParagraph"/>
      </w:pPr>
      <w:r>
        <w:t xml:space="preserve">Din cursurile anterioare reținem relațiile fundamentale ale câmpului electrostatic:</w:t>
      </w:r>
    </w:p>
    <w:p>
      <w:pPr>
        <w:pStyle w:val="BodyText"/>
      </w:pPr>
      <m:oMathPara>
        <m:oMathParaPr>
          <m:jc m:val="center"/>
        </m:oMathParaPr>
        <m:oMath>
          <m:eqArr>
            <m:e>
              <m:nary>
                <m:naryPr>
                  <m:chr m:val="∮"/>
                  <m:limLoc m:val="subSup"/>
                  <m:subHide m:val="off"/>
                  <m:supHide m:val="on"/>
                </m:naryPr>
                <m:sub>
                  <m:r>
                    <m:rPr>
                      <m:sty m:val="p"/>
                    </m:rPr>
                    <m:t>Γ</m:t>
                  </m:r>
                </m:sub>
                <m:sup>
                  <m:r>
                    <m:t>​</m:t>
                  </m:r>
                </m:sup>
                <m:e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</m:e>
              </m:nary>
              <m:r>
                <m:rPr>
                  <m:sty m:val="p"/>
                </m:rPr>
                <m:t>⋅</m:t>
              </m:r>
              <m:r>
                <m:t>d</m:t>
              </m:r>
              <m:acc>
                <m:accPr>
                  <m:chr m:val="⃗"/>
                </m:accPr>
                <m:e>
                  <m:r>
                    <m:t>r</m:t>
                  </m:r>
                </m:e>
              </m:acc>
              <m:r>
                <m:t>&amp;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t>  </m:t>
              </m:r>
              <m:r>
                <m:rPr>
                  <m:sty m:val="p"/>
                </m:rPr>
                <m:t>(</m:t>
              </m:r>
              <m:r>
                <m:t>1</m:t>
              </m:r>
              <m:r>
                <m:rPr>
                  <m:sty m:val="p"/>
                </m:rPr>
                <m:t>)</m:t>
              </m:r>
            </m:e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  <m:r>
                <m:t>&amp;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grad</m:t>
              </m:r>
              <m:r>
                <m:t>V</m:t>
              </m:r>
              <m:r>
                <m:t>  </m:t>
              </m:r>
              <m:r>
                <m:rPr>
                  <m:sty m:val="p"/>
                </m:rPr>
                <m:t>(</m:t>
              </m:r>
              <m:r>
                <m:t>2</m:t>
              </m:r>
              <m:r>
                <m:rPr>
                  <m:sty m:val="p"/>
                </m:rPr>
                <m:t>)</m:t>
              </m:r>
            </m:e>
            <m:e>
              <m:r>
                <m:rPr>
                  <m:sty m:val="p"/>
                </m:rPr>
                <m:t>rot</m:t>
              </m:r>
              <m:acc>
                <m:accPr>
                  <m:chr m:val="⃗"/>
                </m:accPr>
                <m:e>
                  <m:r>
                    <m:t>E</m:t>
                  </m:r>
                </m:e>
              </m:acc>
              <m:r>
                <m:t>&amp;</m:t>
              </m:r>
              <m:r>
                <m:rPr>
                  <m:sty m:val="p"/>
                </m:rPr>
                <m:t>=</m:t>
              </m:r>
              <m:r>
                <m:t>0</m:t>
              </m:r>
              <m:r>
                <m:t>  </m:t>
              </m:r>
              <m:r>
                <m:rPr>
                  <m:sty m:val="p"/>
                </m:rPr>
                <m:t>(</m:t>
              </m:r>
              <m:r>
                <m:t>3</m:t>
              </m:r>
              <m:r>
                <m:rPr>
                  <m:sty m:val="p"/>
                </m:rPr>
                <m:t>)</m:t>
              </m:r>
            </m:e>
          </m:eqArr>
        </m:oMath>
      </m:oMathPara>
    </w:p>
    <w:p>
      <w:pPr>
        <w:pStyle w:val="FirstParagraph"/>
      </w:pPr>
      <w:r>
        <w:t xml:space="preserve">Relația (1) implică, prin teorema Stokes: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∮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Γ</m:t>
              </m:r>
            </m:sub>
            <m:sup>
              <m:r>
                <m:t>​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r>
            <m:t>d</m:t>
          </m:r>
          <m:acc>
            <m:accPr>
              <m:chr m:val="⃗"/>
            </m:accPr>
            <m:e>
              <m:r>
                <m:t>r</m:t>
              </m:r>
            </m:e>
          </m:acc>
          <m:r>
            <m:rPr>
              <m:sty m:val="p"/>
            </m:rPr>
            <m:t>=</m:t>
          </m:r>
          <m:nary>
            <m:naryPr>
              <m:chr m:val="∬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Σ</m:t>
              </m:r>
            </m:sub>
            <m:sup>
              <m:r>
                <m:t>​</m:t>
              </m:r>
            </m:sup>
            <m:e>
              <m:d>
                <m:dPr>
                  <m:begChr m:val="("/>
                  <m:sepChr m:val=""/>
                  <m:endChr m:val=")"/>
                  <m:grow/>
                </m:dPr>
                <m:e>
                  <m:r>
                    <m:rPr>
                      <m:sty m:val="p"/>
                    </m:rPr>
                    <m:t>rot</m:t>
                  </m:r>
                  <m:acc>
                    <m:accPr>
                      <m:chr m:val="⃗"/>
                    </m:accPr>
                    <m:e>
                      <m:r>
                        <m:t>E</m:t>
                      </m:r>
                    </m:e>
                  </m:acc>
                </m:e>
              </m:d>
            </m:e>
          </m:nary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n</m:t>
              </m:r>
            </m:e>
          </m:acc>
          <m:r>
            <m:t> </m:t>
          </m:r>
          <m:r>
            <m:t>d</m:t>
          </m:r>
          <m:r>
            <m:t>S</m:t>
          </m:r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ceea ce este consistent cu (3).</w:t>
      </w:r>
    </w:p>
    <w:p>
      <w:pPr>
        <w:pStyle w:val="BodyText"/>
      </w:pPr>
      <w:r>
        <w:t xml:space="preserve">Diferența de potențial între două puncte</w:t>
      </w:r>
      <w:r>
        <w:t xml:space="preserve"> </w:t>
      </w:r>
      <m:oMath>
        <m:r>
          <m:t>1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t>2</m:t>
        </m:r>
      </m:oMath>
      <w:r>
        <w:t xml:space="preserve"> </w:t>
      </w:r>
      <w:r>
        <w:t xml:space="preserve">este: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=</m:t>
          </m:r>
          <m:nary>
            <m:naryPr>
              <m:chr m:val="∫"/>
              <m:limLoc m:val="subSup"/>
              <m:subHide m:val="off"/>
              <m:supHide m:val="off"/>
            </m:naryPr>
            <m:sub>
              <m:r>
                <m:t>1</m:t>
              </m:r>
            </m:sub>
            <m:sup>
              <m:r>
                <m:t>2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r>
            <m:t>d</m:t>
          </m:r>
          <m:acc>
            <m:accPr>
              <m:chr m:val="⃗"/>
            </m:accPr>
            <m:e>
              <m:r>
                <m:t>r</m:t>
              </m:r>
            </m:e>
          </m:acc>
          <m:r>
            <m:rPr>
              <m:sty m:val="p"/>
            </m:rPr>
            <m:t>.</m:t>
          </m:r>
        </m:oMath>
      </m:oMathPara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Integrala de contur a lui E este zero" title="" id="10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4_circ_E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Integrala de contur a lui E este zero</w:t>
      </w:r>
    </w:p>
    <w:bookmarkEnd w:id="12"/>
    <w:bookmarkStart w:id="24" w:name="Xc11afececc96e124d8804dd4dbb734274182c60"/>
    <w:p>
      <w:pPr>
        <w:pStyle w:val="Heading2"/>
      </w:pPr>
      <w:r>
        <w:t xml:space="preserve">Densitatea volumică de sarcină și legătura cu câmpul electric</w:t>
      </w:r>
    </w:p>
    <w:bookmarkStart w:id="19" w:name="densitatea-volumică-de-sarcină"/>
    <w:p>
      <w:pPr>
        <w:pStyle w:val="Heading3"/>
      </w:pPr>
      <w:r>
        <w:t xml:space="preserve">Densitatea volumică de sarcină</w:t>
      </w:r>
    </w:p>
    <w:p>
      <w:pPr>
        <w:pStyle w:val="FirstParagraph"/>
      </w:pPr>
      <w:r>
        <w:t xml:space="preserve">Fie un domeniu</w:t>
      </w:r>
      <w:r>
        <w:t xml:space="preserve"> </w:t>
      </w:r>
      <m:oMath>
        <m:r>
          <m:rPr>
            <m:scr m:val="script"/>
            <m:sty m:val="p"/>
          </m:rPr>
          <m:t>D</m:t>
        </m:r>
      </m:oMath>
      <w:r>
        <w:t xml:space="preserve"> </w:t>
      </w:r>
      <w:r>
        <w:t xml:space="preserve">din spațiu. Definim</w:t>
      </w:r>
      <w:r>
        <w:t xml:space="preserve"> </w:t>
      </w:r>
      <w:r>
        <w:rPr>
          <w:b/>
          <w:bCs/>
        </w:rPr>
        <w:t xml:space="preserve">densitatea volumică de sarcină</w:t>
      </w:r>
      <w:r>
        <w:t xml:space="preserve"> </w:t>
      </w:r>
      <w:r>
        <w:t xml:space="preserve">în punctul</w:t>
      </w:r>
      <w:r>
        <w:t xml:space="preserve"> </w:t>
      </w:r>
      <m:oMath>
        <m:r>
          <m:t>P</m:t>
        </m:r>
        <m:r>
          <m:rPr>
            <m:sty m:val="p"/>
          </m:rPr>
          <m:t>(</m:t>
        </m:r>
        <m:r>
          <m:t>x</m:t>
        </m:r>
        <m:r>
          <m:rPr>
            <m:sty m:val="p"/>
          </m:rPr>
          <m:t>,</m:t>
        </m:r>
        <m:r>
          <m:t>y</m:t>
        </m:r>
        <m:r>
          <m:rPr>
            <m:sty m:val="p"/>
          </m:rPr>
          <m:t>,</m:t>
        </m:r>
        <m:r>
          <m:t>z</m:t>
        </m:r>
        <m:r>
          <m:rPr>
            <m:sty m:val="p"/>
          </m:rPr>
          <m:t>)</m:t>
        </m:r>
      </m:oMath>
      <w:r>
        <w:t xml:space="preserve"> </w:t>
      </w:r>
      <w:r>
        <w:t xml:space="preserve">ca:</w:t>
      </w:r>
    </w:p>
    <w:p>
      <w:pPr>
        <w:pStyle w:val="BodyText"/>
      </w:pPr>
      <m:oMathPara>
        <m:oMathParaPr>
          <m:jc m:val="center"/>
        </m:oMathParaPr>
        <m:oMath>
          <m:r>
            <m:t>ρ</m:t>
          </m:r>
          <m:r>
            <m:rPr>
              <m:sty m:val="p"/>
            </m:rPr>
            <m:t>(</m:t>
          </m:r>
          <m:r>
            <m:t>x</m:t>
          </m:r>
          <m:r>
            <m:rPr>
              <m:sty m:val="p"/>
            </m:rPr>
            <m:t>,</m:t>
          </m:r>
          <m:r>
            <m:t>y</m:t>
          </m:r>
          <m:r>
            <m:rPr>
              <m:sty m:val="p"/>
            </m:rPr>
            <m:t>,</m:t>
          </m:r>
          <m:r>
            <m:t>z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d</m:t>
              </m:r>
              <m:r>
                <m:t>Q</m:t>
              </m:r>
            </m:num>
            <m:den>
              <m:r>
                <m:t>d</m:t>
              </m:r>
              <m:r>
                <m:t>V</m:t>
              </m:r>
            </m:den>
          </m:f>
          <m:r>
            <m:t>  </m:t>
          </m:r>
          <m:d>
            <m:dPr>
              <m:begChr m:val="["/>
              <m:sepChr m:val=""/>
              <m:endChr m:val="]"/>
              <m:grow/>
            </m:dPr>
            <m:e>
              <m:r>
                <m:rPr>
                  <m:sty m:val="p"/>
                </m:rPr>
                <m:t>C</m:t>
              </m:r>
              <m:r>
                <m:rPr>
                  <m:sty m:val="p"/>
                </m:rPr>
                <m:t>/</m:t>
              </m:r>
              <m:sSup>
                <m:e>
                  <m:r>
                    <m:rPr>
                      <m:sty m:val="p"/>
                    </m:rPr>
                    <m:t>m</m:t>
                  </m:r>
                </m:e>
                <m:sup>
                  <m:r>
                    <m:rPr>
                      <m:sty m:val="p"/>
                    </m:rPr>
                    <m:t>3</m:t>
                  </m:r>
                </m:sup>
              </m:sSup>
            </m:e>
          </m:d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Sarcina totală conținută în domeniul</w:t>
      </w:r>
      <w:r>
        <w:t xml:space="preserve"> </w:t>
      </w:r>
      <m:oMath>
        <m:r>
          <m:rPr>
            <m:scr m:val="script"/>
            <m:sty m:val="p"/>
          </m:rPr>
          <m:t>D</m:t>
        </m:r>
      </m:oMath>
      <w:r>
        <w:t xml:space="preserve"> </w:t>
      </w:r>
      <w:r>
        <w:t xml:space="preserve">este: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Q</m:t>
              </m:r>
            </m:e>
            <m:sub>
              <m:r>
                <m:rPr>
                  <m:scr m:val="script"/>
                  <m:sty m:val="p"/>
                </m:rPr>
                <m:t>D</m:t>
              </m:r>
            </m:sub>
          </m:sSub>
          <m:r>
            <m:rPr>
              <m:sty m:val="p"/>
            </m:rPr>
            <m:t>=</m:t>
          </m:r>
          <m:nary>
            <m:naryPr>
              <m:chr m:val="∫"/>
              <m:limLoc m:val="subSup"/>
              <m:subHide m:val="off"/>
              <m:supHide m:val="on"/>
            </m:naryPr>
            <m:sub>
              <m:r>
                <m:rPr>
                  <m:scr m:val="script"/>
                  <m:sty m:val="p"/>
                </m:rPr>
                <m:t>D</m:t>
              </m:r>
            </m:sub>
            <m:sup>
              <m:r>
                <m:t>​</m:t>
              </m:r>
            </m:sup>
            <m:e>
              <m:r>
                <m:t>d</m:t>
              </m:r>
            </m:e>
          </m:nary>
          <m:r>
            <m:t>Q</m:t>
          </m:r>
          <m:r>
            <m:rPr>
              <m:sty m:val="p"/>
            </m:rPr>
            <m:t>=</m:t>
          </m:r>
          <m:nary>
            <m:naryPr>
              <m:chr m:val="∭"/>
              <m:limLoc m:val="subSup"/>
              <m:subHide m:val="off"/>
              <m:supHide m:val="on"/>
            </m:naryPr>
            <m:sub>
              <m:r>
                <m:rPr>
                  <m:scr m:val="script"/>
                  <m:sty m:val="p"/>
                </m:rPr>
                <m:t>D</m:t>
              </m:r>
            </m:sub>
            <m:sup>
              <m:r>
                <m:t>​</m:t>
              </m:r>
            </m:sup>
            <m:e>
              <m:r>
                <m:t>ρ</m:t>
              </m:r>
            </m:e>
          </m:nary>
          <m:r>
            <m:t> </m:t>
          </m:r>
          <m:r>
            <m:t>d</m:t>
          </m:r>
          <m:r>
            <m:t>V</m:t>
          </m:r>
          <m:r>
            <m:rPr>
              <m:sty m:val="p"/>
            </m:rPr>
            <m:t>.</m:t>
          </m:r>
        </m:oMath>
      </m:oMathPara>
    </w:p>
    <w:p>
      <w:pPr>
        <w:pStyle w:val="CaptionedFigure"/>
      </w:pPr>
      <w:r>
        <w:drawing>
          <wp:inline>
            <wp:extent cx="1447800" cy="1181100"/>
            <wp:effectExtent b="0" l="0" r="0" t="0"/>
            <wp:docPr descr="Domeniu D delimitat de suprafața Σ, cu elementul de volum dV și sarcina elementară dQ = ρ dV în punctul P(x, y, z)." title="" id="14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4_domeniu_D.svg" id="1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Domeniu D delimitat de suprafața Σ, cu elementul de volum dV și sarcina elementară dQ = ρ dV în punctul P(x, y, z).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Definitia densității volumice de sarcină rho" title="" id="17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4_rho_volum.png" id="18" name="Picture"/>
                    <pic:cNvPicPr>
                      <a:picLocks noChangeArrowheads="1"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Definitia densității volumice de sarcină rho</w:t>
      </w:r>
    </w:p>
    <w:bookmarkEnd w:id="19"/>
    <w:bookmarkStart w:id="23" w:name="teorema-gauss-în-formă-integrală"/>
    <w:p>
      <w:pPr>
        <w:pStyle w:val="Heading3"/>
      </w:pPr>
      <w:r>
        <w:t xml:space="preserve">Teorema Gauss în formă integrală</w:t>
      </w:r>
    </w:p>
    <w:p>
      <w:pPr>
        <w:pStyle w:val="FirstParagraph"/>
      </w:pPr>
      <w:r>
        <w:t xml:space="preserve">Aplicând teorema Gauss (divergenței):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∯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Σ</m:t>
              </m:r>
            </m:sub>
            <m:sup>
              <m:r>
                <m:t>​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n</m:t>
              </m:r>
            </m:e>
          </m:acc>
          <m:r>
            <m:t> </m:t>
          </m:r>
          <m:r>
            <m:t>d</m:t>
          </m:r>
          <m:r>
            <m:t>S</m:t>
          </m:r>
          <m:r>
            <m:rPr>
              <m:sty m:val="p"/>
            </m:rPr>
            <m:t>=</m:t>
          </m:r>
          <m:nary>
            <m:naryPr>
              <m:chr m:val="∭"/>
              <m:limLoc m:val="subSup"/>
              <m:subHide m:val="off"/>
              <m:supHide m:val="on"/>
            </m:naryPr>
            <m:sub>
              <m:r>
                <m:rPr>
                  <m:scr m:val="script"/>
                  <m:sty m:val="p"/>
                </m:rPr>
                <m:t>D</m:t>
              </m:r>
            </m:sub>
            <m:sup>
              <m:r>
                <m:t>​</m:t>
              </m:r>
            </m:sup>
            <m:e>
              <m:r>
                <m:rPr>
                  <m:sty m:val="p"/>
                </m:rPr>
                <m:t>div</m:t>
              </m:r>
            </m:e>
          </m:nary>
          <m:acc>
            <m:accPr>
              <m:chr m:val="⃗"/>
            </m:accPr>
            <m:e>
              <m:r>
                <m:t>E</m:t>
              </m:r>
            </m:e>
          </m:acc>
          <m:r>
            <m:t> </m:t>
          </m:r>
          <m:r>
            <m:t>d</m:t>
          </m:r>
          <m:r>
            <m:t>V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Pe de altă parte, legea lui Gauss pentru câmpul electric afirmă că fluxul lui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</m:oMath>
      <w:r>
        <w:t xml:space="preserve"> </w:t>
      </w:r>
      <w:r>
        <w:t xml:space="preserve">printr-o suprafață închisă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este egal cu sarcina interioară împărțită la</w:t>
      </w:r>
      <w:r>
        <w:t xml:space="preserve"> </w:t>
      </w:r>
      <m:oMath>
        <m:sSub>
          <m:e>
            <m:r>
              <m:t>ε</m:t>
            </m:r>
          </m:e>
          <m:sub>
            <m:r>
              <m:t>0</m:t>
            </m:r>
          </m:sub>
        </m:sSub>
      </m:oMath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∯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Σ</m:t>
              </m:r>
            </m:sub>
            <m:sup>
              <m:r>
                <m:t>​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n</m:t>
              </m:r>
            </m:e>
          </m:acc>
          <m:r>
            <m:t> </m:t>
          </m:r>
          <m:r>
            <m:t>d</m:t>
          </m:r>
          <m:r>
            <m:t>S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int</m:t>
                  </m:r>
                </m:sub>
              </m:sSub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1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nary>
            <m:naryPr>
              <m:chr m:val="∭"/>
              <m:limLoc m:val="subSup"/>
              <m:subHide m:val="off"/>
              <m:supHide m:val="on"/>
            </m:naryPr>
            <m:sub>
              <m:r>
                <m:rPr>
                  <m:scr m:val="script"/>
                  <m:sty m:val="p"/>
                </m:rPr>
                <m:t>D</m:t>
              </m:r>
            </m:sub>
            <m:sup>
              <m:r>
                <m:t>​</m:t>
              </m:r>
            </m:sup>
            <m:e>
              <m:r>
                <m:t>ρ</m:t>
              </m:r>
            </m:e>
          </m:nary>
          <m:r>
            <m:t> </m:t>
          </m:r>
          <m:r>
            <m:t>d</m:t>
          </m:r>
          <m:r>
            <m:t>V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Deoarece relația este valabilă pentru orice domeniu</w:t>
      </w:r>
      <w:r>
        <w:t xml:space="preserve"> </w:t>
      </w:r>
      <m:oMath>
        <m:r>
          <m:rPr>
            <m:scr m:val="script"/>
            <m:sty m:val="p"/>
          </m:rPr>
          <m:t>D</m:t>
        </m:r>
      </m:oMath>
      <w:r>
        <w:t xml:space="preserve">, integranzii trebuie să fie egali. Obținem astfel</w:t>
      </w:r>
      <w:r>
        <w:t xml:space="preserve"> </w:t>
      </w:r>
      <w:r>
        <w:rPr>
          <w:b/>
          <w:bCs/>
        </w:rPr>
        <w:t xml:space="preserve">legătura matematică dintre câmp și sursă</w:t>
      </w:r>
      <w:r>
        <w:t xml:space="preserve">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div</m:t>
              </m:r>
              <m:acc>
                <m:accPr>
                  <m:chr m:val="⃗"/>
                </m:accPr>
                <m:e>
                  <m:r>
                    <m:t>E</m:t>
                  </m:r>
                </m:e>
              </m:acc>
              <m:r>
                <m:rPr>
                  <m:sty m:val="p"/>
                </m:rPr>
                <m:t>=</m:t>
              </m:r>
              <m:f>
                <m:fPr>
                  <m:type m:val="bar"/>
                </m:fPr>
                <m:num>
                  <m:r>
                    <m:t>ρ</m:t>
                  </m:r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</m:e>
          </m:borderBox>
          <m:r>
            <m:t>  </m:t>
          </m:r>
          <m:r>
            <m:rPr>
              <m:sty m:val="p"/>
            </m:rPr>
            <m:t>(</m:t>
          </m:r>
          <m:r>
            <m:t>4</m:t>
          </m:r>
          <m:r>
            <m:rPr>
              <m:sty m:val="p"/>
            </m:rPr>
            <m:t>)</m:t>
          </m:r>
        </m:oMath>
      </m:oMathPara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Legea Gauss: flux prin suprafata închisă" title="" id="21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4_gauss_flux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Legea Gauss: flux prin suprafata închisă</w:t>
      </w:r>
    </w:p>
    <w:bookmarkEnd w:id="23"/>
    <w:bookmarkEnd w:id="24"/>
    <w:bookmarkStart w:id="30" w:name="ecuația-lui-poisson"/>
    <w:p>
      <w:pPr>
        <w:pStyle w:val="Heading2"/>
      </w:pPr>
      <w:r>
        <w:t xml:space="preserve">Ecuația lui Poisson</w:t>
      </w:r>
    </w:p>
    <w:bookmarkStart w:id="25" w:name="derivarea-ecuației"/>
    <w:p>
      <w:pPr>
        <w:pStyle w:val="Heading3"/>
      </w:pPr>
      <w:r>
        <w:t xml:space="preserve">Derivarea ecuației</w:t>
      </w:r>
    </w:p>
    <w:p>
      <w:pPr>
        <w:pStyle w:val="FirstParagraph"/>
      </w:pPr>
      <w:r>
        <w:t xml:space="preserve">Combinăm relațiile (2) și (4). Înlocuind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r>
          <m:rPr>
            <m:sty m:val="p"/>
          </m:rPr>
          <m:t>−</m:t>
        </m:r>
        <m:r>
          <m:rPr>
            <m:sty m:val="p"/>
          </m:rPr>
          <m:t>grad</m:t>
        </m:r>
        <m:r>
          <m:t>V</m:t>
        </m:r>
      </m:oMath>
      <w:r>
        <w:t xml:space="preserve"> </w:t>
      </w:r>
      <w:r>
        <w:t xml:space="preserve">în (4):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div</m:t>
          </m:r>
          <m:r>
            <m:rPr>
              <m:sty m:val="p"/>
            </m:rPr>
            <m:t>(</m:t>
          </m:r>
          <m:r>
            <m:rPr>
              <m:sty m:val="p"/>
            </m:rPr>
            <m:t>−</m:t>
          </m:r>
          <m:r>
            <m:rPr>
              <m:sty m:val="p"/>
            </m:rPr>
            <m:t>grad</m:t>
          </m:r>
          <m:r>
            <m:t>V</m:t>
          </m:r>
          <m:r>
            <m:rPr>
              <m:sty m:val="p"/>
            </m:rPr>
            <m:t>)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ρ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Operatorul</w:t>
      </w:r>
      <w:r>
        <w:t xml:space="preserve"> </w:t>
      </w:r>
      <m:oMath>
        <m:r>
          <m:rPr>
            <m:sty m:val="p"/>
          </m:rPr>
          <m:t>grad</m:t>
        </m:r>
      </m:oMath>
      <w:r>
        <w:t xml:space="preserve"> </w:t>
      </w:r>
      <w:r>
        <w:t xml:space="preserve">în coordonate carteziene este: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grad</m:t>
          </m:r>
          <m:r>
            <m:t>V</m:t>
          </m:r>
          <m:r>
            <m:rPr>
              <m:sty m:val="p"/>
            </m:rPr>
            <m:t>=</m:t>
          </m:r>
          <m:acc>
            <m:accPr>
              <m:chr m:val="⃗"/>
            </m:accPr>
            <m:e>
              <m:r>
                <m:t>i</m:t>
              </m:r>
            </m:e>
          </m:acc>
          <m:r>
            <m:t> </m:t>
          </m:r>
          <m:f>
            <m:fPr>
              <m:type m:val="bar"/>
            </m:fPr>
            <m:num>
              <m:r>
                <m:rPr>
                  <m:sty m:val="p"/>
                </m:rPr>
                <m:t>∂</m:t>
              </m:r>
              <m:r>
                <m:t>V</m:t>
              </m:r>
            </m:num>
            <m:den>
              <m:r>
                <m:rPr>
                  <m:sty m:val="p"/>
                </m:rPr>
                <m:t>∂</m:t>
              </m:r>
              <m:r>
                <m:t>x</m:t>
              </m:r>
            </m:den>
          </m:f>
          <m:r>
            <m:rPr>
              <m:sty m:val="p"/>
            </m:rPr>
            <m:t>+</m:t>
          </m:r>
          <m:acc>
            <m:accPr>
              <m:chr m:val="⃗"/>
            </m:accPr>
            <m:e>
              <m:r>
                <m:t>j</m:t>
              </m:r>
            </m:e>
          </m:acc>
          <m:r>
            <m:t> </m:t>
          </m:r>
          <m:f>
            <m:fPr>
              <m:type m:val="bar"/>
            </m:fPr>
            <m:num>
              <m:r>
                <m:rPr>
                  <m:sty m:val="p"/>
                </m:rPr>
                <m:t>∂</m:t>
              </m:r>
              <m:r>
                <m:t>V</m:t>
              </m:r>
            </m:num>
            <m:den>
              <m:r>
                <m:rPr>
                  <m:sty m:val="p"/>
                </m:rPr>
                <m:t>∂</m:t>
              </m:r>
              <m:r>
                <m:t>y</m:t>
              </m:r>
            </m:den>
          </m:f>
          <m:r>
            <m:rPr>
              <m:sty m:val="p"/>
            </m:rPr>
            <m:t>+</m:t>
          </m:r>
          <m:acc>
            <m:accPr>
              <m:chr m:val="⃗"/>
            </m:accPr>
            <m:e>
              <m:r>
                <m:t>k</m:t>
              </m:r>
            </m:e>
          </m:acc>
          <m:r>
            <m:t> </m:t>
          </m:r>
          <m:f>
            <m:fPr>
              <m:type m:val="bar"/>
            </m:fPr>
            <m:num>
              <m:r>
                <m:rPr>
                  <m:sty m:val="p"/>
                </m:rPr>
                <m:t>∂</m:t>
              </m:r>
              <m:r>
                <m:t>V</m:t>
              </m:r>
            </m:num>
            <m:den>
              <m:r>
                <m:rPr>
                  <m:sty m:val="p"/>
                </m:rPr>
                <m:t>∂</m:t>
              </m:r>
              <m:r>
                <m:t>z</m:t>
              </m:r>
            </m:den>
          </m:f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deci: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−</m:t>
          </m:r>
          <m:r>
            <m:rPr>
              <m:sty m:val="p"/>
            </m:rPr>
            <m:t>div</m:t>
          </m:r>
          <m:r>
            <m:t>​</m:t>
          </m:r>
          <m:d>
            <m:dPr>
              <m:begChr m:val="("/>
              <m:sepChr m:val=""/>
              <m:endChr m:val=")"/>
              <m:grow/>
            </m:dPr>
            <m:e>
              <m:acc>
                <m:accPr>
                  <m:chr m:val="⃗"/>
                </m:accPr>
                <m:e>
                  <m:r>
                    <m:t>i</m:t>
                  </m:r>
                </m:e>
              </m:acc>
              <m:r>
                <m:t> 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r>
                    <m:t>V</m:t>
                  </m:r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x</m:t>
                  </m:r>
                </m:den>
              </m:f>
              <m:r>
                <m:rPr>
                  <m:sty m:val="p"/>
                </m:rPr>
                <m:t>+</m:t>
              </m:r>
              <m:acc>
                <m:accPr>
                  <m:chr m:val="⃗"/>
                </m:accPr>
                <m:e>
                  <m:r>
                    <m:t>j</m:t>
                  </m:r>
                </m:e>
              </m:acc>
              <m:r>
                <m:t> 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r>
                    <m:t>V</m:t>
                  </m:r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y</m:t>
                  </m:r>
                </m:den>
              </m:f>
              <m:r>
                <m:rPr>
                  <m:sty m:val="p"/>
                </m:rPr>
                <m:t>+</m:t>
              </m:r>
              <m:acc>
                <m:accPr>
                  <m:chr m:val="⃗"/>
                </m:accPr>
                <m:e>
                  <m:r>
                    <m:t>k</m:t>
                  </m:r>
                </m:e>
              </m:acc>
              <m:r>
                <m:t> 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  <m:r>
                    <m:t>V</m:t>
                  </m:r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z</m:t>
                  </m:r>
                </m:den>
              </m:f>
            </m:e>
          </m:d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ρ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Aplicând operatorul</w:t>
      </w:r>
      <w:r>
        <w:t xml:space="preserve"> </w:t>
      </w:r>
      <m:oMath>
        <m:r>
          <m:rPr>
            <m:sty m:val="p"/>
          </m:rPr>
          <m:t>div</m:t>
        </m:r>
      </m:oMath>
      <w:r>
        <w:t xml:space="preserve"> </w:t>
      </w:r>
      <w:r>
        <w:t xml:space="preserve">termen cu termen: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−</m:t>
          </m:r>
          <m:d>
            <m:dPr>
              <m:begChr m:val="("/>
              <m:sepChr m:val=""/>
              <m:endChr m:val=")"/>
              <m:grow/>
            </m:dPr>
            <m:e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x</m:t>
                  </m:r>
                </m:den>
              </m:f>
              <m:r>
                <m:t>​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rPr>
                          <m:sty m:val="p"/>
                        </m:rPr>
                        <m:t>∂</m:t>
                      </m:r>
                      <m:r>
                        <m:t>V</m:t>
                      </m:r>
                    </m:num>
                    <m:den>
                      <m:r>
                        <m:rPr>
                          <m:sty m:val="p"/>
                        </m:rPr>
                        <m:t>∂</m:t>
                      </m:r>
                      <m:r>
                        <m:t>x</m:t>
                      </m:r>
                    </m:den>
                  </m:f>
                </m:e>
              </m:d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y</m:t>
                  </m:r>
                </m:den>
              </m:f>
              <m:r>
                <m:t>​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rPr>
                          <m:sty m:val="p"/>
                        </m:rPr>
                        <m:t>∂</m:t>
                      </m:r>
                      <m:r>
                        <m:t>V</m:t>
                      </m:r>
                    </m:num>
                    <m:den>
                      <m:r>
                        <m:rPr>
                          <m:sty m:val="p"/>
                        </m:rPr>
                        <m:t>∂</m:t>
                      </m:r>
                      <m:r>
                        <m:t>y</m:t>
                      </m:r>
                    </m:den>
                  </m:f>
                </m:e>
              </m:d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r>
                    <m:rPr>
                      <m:sty m:val="p"/>
                    </m:rPr>
                    <m:t>∂</m:t>
                  </m:r>
                </m:num>
                <m:den>
                  <m:r>
                    <m:rPr>
                      <m:sty m:val="p"/>
                    </m:rPr>
                    <m:t>∂</m:t>
                  </m:r>
                  <m:r>
                    <m:t>z</m:t>
                  </m:r>
                </m:den>
              </m:f>
              <m:r>
                <m:t>​</m:t>
              </m:r>
              <m:d>
                <m:dPr>
                  <m:begChr m:val="("/>
                  <m:sepChr m:val=""/>
                  <m:endChr m:val=")"/>
                  <m:grow/>
                </m:dPr>
                <m:e>
                  <m:f>
                    <m:fPr>
                      <m:type m:val="bar"/>
                    </m:fPr>
                    <m:num>
                      <m:r>
                        <m:rPr>
                          <m:sty m:val="p"/>
                        </m:rPr>
                        <m:t>∂</m:t>
                      </m:r>
                      <m:r>
                        <m:t>V</m:t>
                      </m:r>
                    </m:num>
                    <m:den>
                      <m:r>
                        <m:rPr>
                          <m:sty m:val="p"/>
                        </m:rPr>
                        <m:t>∂</m:t>
                      </m:r>
                      <m:r>
                        <m:t>z</m:t>
                      </m:r>
                    </m:den>
                  </m:f>
                </m:e>
              </m:d>
            </m:e>
          </m:d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ρ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,</m:t>
          </m:r>
        </m:oMath>
      </m:oMathPara>
    </w:p>
    <w:p>
      <w:pPr>
        <w:pStyle w:val="FirstParagraph"/>
      </w:pPr>
      <w:r>
        <w:t xml:space="preserve">adică: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−</m:t>
          </m:r>
          <m:d>
            <m:dPr>
              <m:begChr m:val="("/>
              <m:sepChr m:val=""/>
              <m:endChr m:val=")"/>
              <m:grow/>
            </m:dPr>
            <m:e>
              <m:f>
                <m:fPr>
                  <m:type m:val="bar"/>
                </m:fPr>
                <m:num>
                  <m:sSup>
                    <m:e>
                      <m:r>
                        <m:rPr>
                          <m:sty m:val="p"/>
                        </m:rPr>
                        <m:t>∂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t>V</m:t>
                  </m:r>
                </m:num>
                <m:den>
                  <m:r>
                    <m:rPr>
                      <m:sty m:val="p"/>
                    </m:rPr>
                    <m:t>∂</m:t>
                  </m:r>
                  <m:sSup>
                    <m:e>
                      <m:r>
                        <m:t>x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sSup>
                    <m:e>
                      <m:r>
                        <m:rPr>
                          <m:sty m:val="p"/>
                        </m:rPr>
                        <m:t>∂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t>V</m:t>
                  </m:r>
                </m:num>
                <m:den>
                  <m:r>
                    <m:rPr>
                      <m:sty m:val="p"/>
                    </m:rPr>
                    <m:t>∂</m:t>
                  </m:r>
                  <m:sSup>
                    <m:e>
                      <m:r>
                        <m:t>y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  <m:r>
                <m:rPr>
                  <m:sty m:val="p"/>
                </m:rPr>
                <m:t>+</m:t>
              </m:r>
              <m:f>
                <m:fPr>
                  <m:type m:val="bar"/>
                </m:fPr>
                <m:num>
                  <m:sSup>
                    <m:e>
                      <m:r>
                        <m:rPr>
                          <m:sty m:val="p"/>
                        </m:rPr>
                        <m:t>∂</m:t>
                      </m:r>
                    </m:e>
                    <m:sup>
                      <m:r>
                        <m:t>2</m:t>
                      </m:r>
                    </m:sup>
                  </m:sSup>
                  <m:r>
                    <m:t>V</m:t>
                  </m:r>
                </m:num>
                <m:den>
                  <m:r>
                    <m:rPr>
                      <m:sty m:val="p"/>
                    </m:rPr>
                    <m:t>∂</m:t>
                  </m:r>
                  <m:sSup>
                    <m:e>
                      <m:r>
                        <m:t>z</m:t>
                      </m:r>
                    </m:e>
                    <m:sup>
                      <m:r>
                        <m:t>2</m:t>
                      </m:r>
                    </m:sup>
                  </m:sSup>
                </m:den>
              </m:f>
            </m:e>
          </m:d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ρ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.</m:t>
          </m:r>
          <m:r>
            <m:t>  </m:t>
          </m:r>
          <m:r>
            <m:rPr>
              <m:sty m:val="p"/>
            </m:rPr>
            <m:t>(</m:t>
          </m:r>
          <m:r>
            <m:t>5</m:t>
          </m:r>
          <m:r>
            <m:rPr>
              <m:sty m:val="p"/>
            </m:rPr>
            <m:t>)</m:t>
          </m:r>
        </m:oMath>
      </m:oMathPara>
    </w:p>
    <w:bookmarkEnd w:id="25"/>
    <w:bookmarkStart w:id="29" w:name="operatorul-laplacian"/>
    <w:p>
      <w:pPr>
        <w:pStyle w:val="Heading3"/>
      </w:pPr>
      <w:r>
        <w:t xml:space="preserve">Operatorul laplacian</w:t>
      </w:r>
    </w:p>
    <w:p>
      <w:pPr>
        <w:pStyle w:val="FirstParagraph"/>
      </w:pPr>
      <w:r>
        <w:t xml:space="preserve">Introducem</w:t>
      </w:r>
      <w:r>
        <w:t xml:space="preserve"> </w:t>
      </w:r>
      <w:r>
        <w:rPr>
          <w:b/>
          <w:bCs/>
        </w:rPr>
        <w:t xml:space="preserve">operatorul laplacian</w:t>
      </w:r>
      <w:r>
        <w:t xml:space="preserve"> </w:t>
      </w:r>
      <m:oMath>
        <m:r>
          <m:rPr>
            <m:sty m:val="p"/>
          </m:rPr>
          <m:t>Δ</m:t>
        </m:r>
      </m:oMath>
      <w:r>
        <w:t xml:space="preserve"> </w:t>
      </w:r>
      <w:r>
        <w:t xml:space="preserve">(numit și</w:t>
      </w:r>
      <w:r>
        <w:t xml:space="preserve"> </w:t>
      </w:r>
      <m:oMath>
        <m:sSup>
          <m:e>
            <m:r>
              <m:rPr>
                <m:sty m:val="p"/>
              </m:rPr>
              <m:t>∇</m:t>
            </m:r>
          </m:e>
          <m:sup>
            <m:r>
              <m:t>2</m:t>
            </m:r>
          </m:sup>
        </m:sSup>
      </m:oMath>
      <w:r>
        <w:t xml:space="preserve">), definit în coordonate carteziene prin: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Δ</m:t>
          </m:r>
          <m:r>
            <m:t> </m:t>
          </m:r>
          <m:limUpp>
            <m:e>
              <m:r>
                <m:rPr>
                  <m:sty m:val="p"/>
                </m:rPr>
                <m:t>=</m:t>
              </m:r>
            </m:e>
            <m:lim>
              <m:r>
                <m:rPr>
                  <m:sty m:val="p"/>
                </m:rPr>
                <m:t>d</m:t>
              </m:r>
              <m:r>
                <m:rPr>
                  <m:sty m:val="p"/>
                </m:rPr>
                <m:t>e</m:t>
              </m:r>
              <m:r>
                <m:rPr>
                  <m:sty m:val="p"/>
                </m:rPr>
                <m:t>f</m:t>
              </m:r>
            </m:lim>
          </m:limUpp>
          <m:r>
            <m:t> </m:t>
          </m:r>
          <m:f>
            <m:fPr>
              <m:type m:val="bar"/>
            </m:fPr>
            <m:num>
              <m:sSup>
                <m:e>
                  <m:r>
                    <m:rPr>
                      <m:sty m:val="p"/>
                    </m:rPr>
                    <m:t>∂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rPr>
                  <m:sty m:val="p"/>
                </m:rPr>
                <m:t>∂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sSup>
                <m:e>
                  <m:r>
                    <m:rPr>
                      <m:sty m:val="p"/>
                    </m:rPr>
                    <m:t>∂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rPr>
                  <m:sty m:val="p"/>
                </m:rPr>
                <m:t>∂</m:t>
              </m:r>
              <m:sSup>
                <m:e>
                  <m:r>
                    <m:t>y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+</m:t>
          </m:r>
          <m:f>
            <m:fPr>
              <m:type m:val="bar"/>
            </m:fPr>
            <m:num>
              <m:sSup>
                <m:e>
                  <m:r>
                    <m:rPr>
                      <m:sty m:val="p"/>
                    </m:rPr>
                    <m:t>∂</m:t>
                  </m:r>
                </m:e>
                <m:sup>
                  <m:r>
                    <m:t>2</m:t>
                  </m:r>
                </m:sup>
              </m:sSup>
            </m:num>
            <m:den>
              <m:r>
                <m:rPr>
                  <m:sty m:val="p"/>
                </m:rPr>
                <m:t>∂</m:t>
              </m:r>
              <m:sSup>
                <m:e>
                  <m:r>
                    <m:t>z</m:t>
                  </m:r>
                </m:e>
                <m:sup>
                  <m:r>
                    <m:t>2</m:t>
                  </m:r>
                </m:sup>
              </m:sSup>
            </m:den>
          </m:f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Cu această notație, ecuația (5) se rescrie ca</w:t>
      </w:r>
      <w:r>
        <w:t xml:space="preserve"> </w:t>
      </w:r>
      <m:oMath>
        <m:r>
          <m:rPr>
            <m:sty m:val="p"/>
          </m:rPr>
          <m:t>−</m:t>
        </m:r>
        <m:r>
          <m:rPr>
            <m:sty m:val="p"/>
          </m:rPr>
          <m:t>Δ</m:t>
        </m:r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ρ</m:t>
            </m:r>
          </m:num>
          <m:den>
            <m:sSub>
              <m:e>
                <m:r>
                  <m:t>ε</m:t>
                </m:r>
              </m:e>
              <m:sub>
                <m:r>
                  <m:t>0</m:t>
                </m:r>
              </m:sub>
            </m:sSub>
          </m:den>
        </m:f>
      </m:oMath>
      <w:r>
        <w:t xml:space="preserve">, adică:</w:t>
      </w:r>
    </w:p>
    <w:p>
      <w:pPr>
        <w:pStyle w:val="BodyText"/>
      </w:pPr>
      <m:oMathPara>
        <m:oMathParaPr>
          <m:jc m:val="center"/>
        </m:oMathParaPr>
        <m:oMath>
          <m:borderBox>
            <m:e>
              <m:r>
                <m:rPr>
                  <m:sty m:val="p"/>
                </m:rPr>
                <m:t>Δ</m:t>
              </m:r>
              <m:r>
                <m:t>V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f>
                <m:fPr>
                  <m:type m:val="bar"/>
                </m:fPr>
                <m:num>
                  <m:r>
                    <m:t>ρ</m:t>
                  </m:r>
                </m:num>
                <m:den>
                  <m:sSub>
                    <m:e>
                      <m:r>
                        <m:t>ε</m:t>
                      </m:r>
                    </m:e>
                    <m:sub>
                      <m:r>
                        <m:t>0</m:t>
                      </m:r>
                    </m:sub>
                  </m:sSub>
                </m:den>
              </m:f>
            </m:e>
          </m:borderBox>
          <m:r>
            <m:t>  </m:t>
          </m:r>
          <m:r>
            <m:rPr>
              <m:sty m:val="p"/>
            </m:rPr>
            <m:t>(</m:t>
          </m:r>
          <m:r>
            <m:t>6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Aceasta este</w:t>
      </w:r>
      <w:r>
        <w:t xml:space="preserve"> </w:t>
      </w:r>
      <w:r>
        <w:rPr>
          <w:b/>
          <w:bCs/>
        </w:rPr>
        <w:t xml:space="preserve">ecuația lui Poisson</w:t>
      </w:r>
      <w:r>
        <w:t xml:space="preserve"> </w:t>
      </w:r>
      <w:r>
        <w:t xml:space="preserve">- legătura dintre potențialul electric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și densitatea de sarcină</w:t>
      </w:r>
      <w:r>
        <w:t xml:space="preserve"> </w:t>
      </w:r>
      <m:oMath>
        <m:r>
          <m:t>ρ</m:t>
        </m:r>
      </m:oMath>
      <w:r>
        <w:t xml:space="preserve"> </w:t>
      </w:r>
      <w:r>
        <w:t xml:space="preserve">care îl produce.</w:t>
      </w:r>
    </w:p>
    <w:p>
      <w:pPr>
        <w:pStyle w:val="Compact"/>
        <w:numPr>
          <w:ilvl w:val="0"/>
          <w:numId w:val="1001"/>
        </w:numPr>
      </w:pPr>
      <w:r>
        <w:t xml:space="preserve">În regiunile fără sarcini libere (</w:t>
      </w:r>
      <m:oMath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), ecuația lui Poisson se reduce la</w:t>
      </w:r>
      <w:r>
        <w:t xml:space="preserve"> </w:t>
      </w:r>
      <w:r>
        <w:rPr>
          <w:b/>
          <w:bCs/>
        </w:rPr>
        <w:t xml:space="preserve">ecuația lui Laplace</w:t>
      </w:r>
      <w:r>
        <w:t xml:space="preserve">:</w:t>
      </w:r>
      <w:r>
        <w:t xml:space="preserve"> </w:t>
      </w:r>
      <m:oMath>
        <m:r>
          <m:rPr>
            <m:sty m:val="p"/>
          </m:rPr>
          <m:t>Δ</m:t>
        </m:r>
        <m:r>
          <m:t>V</m:t>
        </m:r>
        <m:r>
          <m:rPr>
            <m:sty m:val="p"/>
          </m:rPr>
          <m:t>=</m:t>
        </m:r>
        <m:r>
          <m:t>0</m:t>
        </m:r>
      </m:oMath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Ecuația lui Poisson este o ecuație cu derivate parțiale de ordinul al doilea, fundamentală în electrostatică, electrotehnică și fizica matematică.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Derivarea pas cu pas a ecuatiei lui Poisson" title="" id="27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4_poisson_derivare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Derivarea pas cu pas a ecuatiei lui Poisson</w:t>
      </w:r>
    </w:p>
    <w:bookmarkEnd w:id="29"/>
    <w:bookmarkEnd w:id="30"/>
    <w:bookmarkStart w:id="52" w:name="X0fe800f4e33ef780eda75c9cd5151a26ab7f50c"/>
    <w:p>
      <w:pPr>
        <w:pStyle w:val="Heading2"/>
      </w:pPr>
      <w:r>
        <w:t xml:space="preserve">Proprietăți ale conductorilor metalici la echilibru electrostatic</w:t>
      </w:r>
    </w:p>
    <w:bookmarkStart w:id="37" w:name="structura-microscopică-a-metalelor"/>
    <w:p>
      <w:pPr>
        <w:pStyle w:val="Heading3"/>
      </w:pPr>
      <w:r>
        <w:t xml:space="preserve">Structura microscopică a metalelor</w:t>
      </w:r>
    </w:p>
    <w:p>
      <w:pPr>
        <w:pStyle w:val="FirstParagraph"/>
      </w:pPr>
      <w:r>
        <w:t xml:space="preserve">Un material</w:t>
      </w:r>
      <w:r>
        <w:t xml:space="preserve"> </w:t>
      </w:r>
      <w:r>
        <w:rPr>
          <w:b/>
          <w:bCs/>
        </w:rPr>
        <w:t xml:space="preserve">izolator</w:t>
      </w:r>
      <w:r>
        <w:t xml:space="preserve"> </w:t>
      </w:r>
      <w:r>
        <w:t xml:space="preserve">plasat într-un câmp electric nu va fi practic parcurs de curent electric, atâta timp cât câmpul electric nu depășește valoarea de străpungere. Un</w:t>
      </w:r>
      <w:r>
        <w:t xml:space="preserve"> </w:t>
      </w:r>
      <w:r>
        <w:rPr>
          <w:b/>
          <w:bCs/>
        </w:rPr>
        <w:t xml:space="preserve">conductor metalic</w:t>
      </w:r>
      <w:r>
        <w:t xml:space="preserve"> </w:t>
      </w:r>
      <w:r>
        <w:t xml:space="preserve">se deosebește de izolator prin faptul că în interiorul metalului există electroni liberi, care se pot mișca haotic în toate direcțiile. Nu toți electronii sunt liberi - doar aceia care provin din straturile marginale (de valență) ale atomilor.</w:t>
      </w:r>
    </w:p>
    <w:p>
      <w:pPr>
        <w:pStyle w:val="BodyText"/>
      </w:pPr>
      <w:r>
        <w:t xml:space="preserve">Concentrația atomilor într-un metal este de ordinul</w:t>
      </w:r>
      <w:r>
        <w:t xml:space="preserve"> </w:t>
      </w:r>
      <m:oMath>
        <m:sSup>
          <m:e>
            <m:r>
              <m:t>10</m:t>
            </m:r>
          </m:e>
          <m:sup>
            <m:r>
              <m:t>28</m:t>
            </m:r>
          </m:sup>
        </m:sSup>
        <m:r>
          <m:t> </m:t>
        </m:r>
        <m:sSup>
          <m:e>
            <m:r>
              <m:rPr>
                <m:sty m:val="p"/>
              </m:rPr>
              <m:t>m</m:t>
            </m:r>
          </m:e>
          <m:sup>
            <m:r>
              <m:rPr>
                <m:sty m:val="p"/>
              </m:rPr>
              <m:t>−</m:t>
            </m:r>
            <m:r>
              <m:rPr>
                <m:sty m:val="p"/>
              </m:rPr>
              <m:t>3</m:t>
            </m:r>
          </m:sup>
        </m:sSup>
      </m:oMath>
      <w:r>
        <w:t xml:space="preserve">. Dacă fiecare atom cedează câte un electron liber, vom avea o concentrație de electroni liberi de același ordin de mărime: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n</m:t>
              </m:r>
            </m:e>
            <m:sub>
              <m:r>
                <m:t>e</m:t>
              </m:r>
            </m:sub>
          </m:sSub>
          <m:r>
            <m:rPr>
              <m:sty m:val="p"/>
            </m:rPr>
            <m:t>≈</m:t>
          </m:r>
          <m:sSup>
            <m:e>
              <m:r>
                <m:t>10</m:t>
              </m:r>
            </m:e>
            <m:sup>
              <m:r>
                <m:t>28</m:t>
              </m:r>
            </m:sup>
          </m:sSup>
          <m:r>
            <m:t> </m:t>
          </m:r>
          <m:sSup>
            <m:e>
              <m:r>
                <m:rPr>
                  <m:sty m:val="p"/>
                </m:rPr>
                <m:t>m</m:t>
              </m:r>
            </m:e>
            <m:sup>
              <m:r>
                <m:rPr>
                  <m:sty m:val="p"/>
                </m:rPr>
                <m:t>−</m:t>
              </m:r>
              <m:r>
                <m:rPr>
                  <m:sty m:val="p"/>
                </m:rPr>
                <m:t>3</m:t>
              </m:r>
            </m:sup>
          </m:sSup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Raportul dintre masa protonului și masa electronului este:</w:t>
      </w:r>
    </w:p>
    <w:p>
      <w:pPr>
        <w:pStyle w:val="BodyText"/>
      </w:pPr>
      <m:oMathPara>
        <m:oMathParaPr>
          <m:jc m:val="center"/>
        </m:oMathParaPr>
        <m:oMath>
          <m:f>
            <m:fPr>
              <m:type m:val="bar"/>
            </m:fPr>
            <m:num>
              <m:sSub>
                <m:e>
                  <m:r>
                    <m:t>m</m:t>
                  </m:r>
                </m:e>
                <m:sub>
                  <m:r>
                    <m:t>p</m:t>
                  </m:r>
                </m:sub>
              </m:sSub>
            </m:num>
            <m:den>
              <m:sSub>
                <m:e>
                  <m:r>
                    <m:t>m</m:t>
                  </m:r>
                </m:e>
                <m:sub>
                  <m:r>
                    <m:t>e</m:t>
                  </m:r>
                </m:sub>
              </m:sSub>
            </m:den>
          </m:f>
          <m:r>
            <m:rPr>
              <m:sty m:val="p"/>
            </m:rPr>
            <m:t>≈</m:t>
          </m:r>
          <m:r>
            <m:t>1836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Deoarece electronii sunt cu mult mai ușori decât ionii din rețeaua cristalină, ei răspund practic instantaneu la orice câmp electric aplicat.</w:t>
      </w:r>
    </w:p>
    <w:p>
      <w:pPr>
        <w:pStyle w:val="CaptionedFigure"/>
      </w:pPr>
      <w:r>
        <w:drawing>
          <wp:inline>
            <wp:extent cx="2028825" cy="914400"/>
            <wp:effectExtent b="0" l="0" r="0" t="0"/>
            <wp:docPr descr="Comparație izolator–conductor la nivel atomic: electroni legați față de electroni liberi de valență." title="" id="32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4_atom_conductor.svg" id="3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Comparație izolator–conductor la nivel atomic: electroni legați față de electroni liberi de valență.</w:t>
      </w:r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Miscarea haotică a electronilor liberi în metal" title="" id="35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4_electroni_liberi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Miscarea haotică a electronilor liberi în metal</w:t>
      </w:r>
    </w:p>
    <w:bookmarkEnd w:id="37"/>
    <w:bookmarkStart w:id="41" w:name="X67d18f0544521c6858ac70b69d2611eba7def49"/>
    <w:p>
      <w:pPr>
        <w:pStyle w:val="Heading3"/>
      </w:pPr>
      <w:r>
        <w:t xml:space="preserve">Mecanismul atingerii echilibrului electrostatic</w:t>
      </w:r>
    </w:p>
    <w:p>
      <w:pPr>
        <w:pStyle w:val="FirstParagraph"/>
      </w:pPr>
      <w:r>
        <w:t xml:space="preserve">Când un conductor metalic este plasat într-un câmp electric extern</w:t>
      </w:r>
      <w:r>
        <w:t xml:space="preserve"> </w:t>
      </w:r>
      <m:oMath>
        <m:sSub>
          <m:e>
            <m:acc>
              <m:accPr>
                <m:chr m:val="⃗"/>
              </m:accPr>
              <m:e>
                <m:r>
                  <m:t>E</m:t>
                </m:r>
              </m:e>
            </m:acc>
          </m:e>
          <m:sub>
            <m:r>
              <m:rPr>
                <m:nor/>
                <m:sty m:val="p"/>
              </m:rPr>
              <m:t>ext</m:t>
            </m:r>
          </m:sub>
        </m:sSub>
      </m:oMath>
      <w:r>
        <w:t xml:space="preserve">, electronii liberi sunt puși în mișcare ordonată (contrar câmpului, deoarece au sarcină negativă). Această mișcare continuă până când câmpul produs de sarcina redistribuită</w:t>
      </w:r>
      <w:r>
        <w:t xml:space="preserve"> </w:t>
      </w:r>
      <m:oMath>
        <m:sSub>
          <m:e>
            <m:acc>
              <m:accPr>
                <m:chr m:val="⃗"/>
              </m:accPr>
              <m:e>
                <m:r>
                  <m:t>E</m:t>
                </m:r>
              </m:e>
            </m:acc>
          </m:e>
          <m:sub>
            <m:r>
              <m:rPr>
                <m:nor/>
                <m:sty m:val="p"/>
              </m:rPr>
              <m:t>dist</m:t>
            </m:r>
          </m:sub>
        </m:sSub>
      </m:oMath>
      <w:r>
        <w:t xml:space="preserve"> </w:t>
      </w:r>
      <w:r>
        <w:t xml:space="preserve">îl anulează exact pe cel exterior: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  <m:sub>
              <m:r>
                <m:rPr>
                  <m:nor/>
                  <m:sty m:val="p"/>
                </m:rPr>
                <m:t>total</m:t>
              </m:r>
            </m:sub>
          </m:sSub>
          <m:r>
            <m:rPr>
              <m:sty m:val="p"/>
            </m:rPr>
            <m:t>=</m:t>
          </m:r>
          <m:sSub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  <m:sub>
              <m:r>
                <m:rPr>
                  <m:nor/>
                  <m:sty m:val="p"/>
                </m:rPr>
                <m:t>ext</m:t>
              </m:r>
            </m:sub>
          </m:sSub>
          <m:r>
            <m:rPr>
              <m:sty m:val="p"/>
            </m:rPr>
            <m:t>+</m:t>
          </m:r>
          <m:sSub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  <m:sub>
              <m:r>
                <m:rPr>
                  <m:nor/>
                  <m:sty m:val="p"/>
                </m:rPr>
                <m:t>dist</m:t>
              </m:r>
            </m:sub>
          </m:sSub>
          <m:r>
            <m:rPr>
              <m:sty m:val="p"/>
            </m:rPr>
            <m:t>=</m:t>
          </m:r>
          <m:acc>
            <m:accPr>
              <m:chr m:val="⃗"/>
            </m:accPr>
            <m:e>
              <m:r>
                <m:t>0</m:t>
              </m:r>
            </m:e>
          </m:acc>
          <m:r>
            <m:t>  </m:t>
          </m:r>
          <m:r>
            <m:rPr>
              <m:nor/>
              <m:sty m:val="p"/>
            </m:rPr>
            <m:t>(la echilibru electrostatic)</m:t>
          </m:r>
          <m:r>
            <m:rPr>
              <m:sty m:val="p"/>
            </m:rPr>
            <m:t>.</m:t>
          </m:r>
        </m:oMath>
      </m:oMathPara>
    </w:p>
    <w:p>
      <w:pPr>
        <w:pStyle w:val="CaptionedFigure"/>
      </w:pPr>
      <w:r>
        <w:drawing>
          <wp:inline>
            <wp:extent cx="5334000" cy="3000375"/>
            <wp:effectExtent b="0" l="0" r="0" t="0"/>
            <wp:docPr descr="Redistribuirea sarcinilor pâna la echilibru (animatie vedeta)" title="" id="39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renders/posters/c04_redistrib_echilibru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Redistribuirea sarcinilor pâna la echilibru (animatie vedeta)</w:t>
      </w:r>
    </w:p>
    <w:bookmarkEnd w:id="41"/>
    <w:bookmarkStart w:id="51" w:name="Xe87812e5ca09afc94fb454ec4d0a1ae94da8ac2"/>
    <w:p>
      <w:pPr>
        <w:pStyle w:val="Heading3"/>
      </w:pPr>
      <w:r>
        <w:t xml:space="preserve">Proprietățile conductorului la echilibru electrostatic</w:t>
      </w:r>
    </w:p>
    <w:p>
      <w:pPr>
        <w:pStyle w:val="FirstParagraph"/>
      </w:pPr>
      <w:r>
        <w:t xml:space="preserve">La echilibru electrostatic, un conductor metalic prezintă trei proprietăți fundamentale:</w:t>
      </w:r>
    </w:p>
    <w:bookmarkStart w:id="42" w:name="Xaea43a9ae31e7002ebc50ae24709d617e7f0c8c"/>
    <w:p>
      <w:pPr>
        <w:pStyle w:val="Heading4"/>
      </w:pPr>
      <w:r>
        <w:t xml:space="preserve">Proprietatea 1: Câmpul electric total în interior este nul</w:t>
      </w:r>
    </w:p>
    <w:p>
      <w:pPr>
        <w:pStyle w:val="FirstParagraph"/>
      </w:pPr>
      <m:oMathPara>
        <m:oMathParaPr>
          <m:jc m:val="center"/>
        </m:oMathParaPr>
        <m:oMath>
          <m:sSub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  <m:sub>
              <m:r>
                <m:rPr>
                  <m:nor/>
                  <m:sty m:val="p"/>
                </m:rPr>
                <m:t>total</m:t>
              </m:r>
            </m:sub>
          </m:sSub>
          <m:r>
            <m:rPr>
              <m:sty m:val="p"/>
            </m:rPr>
            <m:t>=</m:t>
          </m:r>
          <m:acc>
            <m:accPr>
              <m:chr m:val="⃗"/>
            </m:accPr>
            <m:e>
              <m:r>
                <m:t>0</m:t>
              </m:r>
            </m:e>
          </m:acc>
          <m:r>
            <m:t>  </m:t>
          </m:r>
          <m:r>
            <m:rPr>
              <m:nor/>
              <m:sty m:val="p"/>
            </m:rPr>
            <m:t>(în interiorul metalului, la echilibru electrostatic).</m:t>
          </m:r>
          <m:r>
            <m:t>  </m:t>
          </m:r>
          <m:r>
            <m:rPr>
              <m:sty m:val="p"/>
            </m:rPr>
            <m:t>(</m:t>
          </m:r>
          <m:r>
            <m:t>7</m:t>
          </m:r>
          <m:r>
            <m:rPr>
              <m:sty m:val="p"/>
            </m:rPr>
            <m:t>)</m:t>
          </m:r>
        </m:oMath>
      </m:oMathPara>
    </w:p>
    <w:p>
      <w:pPr>
        <w:pStyle w:val="FirstParagraph"/>
      </w:pPr>
      <w:r>
        <w:t xml:space="preserve">Aceasta este consecința directă a procesului de redistribuire a sarcinilor descris mai sus.</w:t>
      </w:r>
    </w:p>
    <w:bookmarkEnd w:id="42"/>
    <w:bookmarkStart w:id="46" w:name="X38acaa8b0bf62f699a80ea40bc4cb949322c8b9"/>
    <w:p>
      <w:pPr>
        <w:pStyle w:val="Heading4"/>
      </w:pPr>
      <w:r>
        <w:t xml:space="preserve">Proprietatea 2: Sarcina netă se distribuie numai pe suprafață</w:t>
      </w:r>
    </w:p>
    <w:p>
      <w:pPr>
        <w:pStyle w:val="FirstParagraph"/>
      </w:pPr>
      <w:r>
        <w:t xml:space="preserve">Din (7) și ecuația (4):</w:t>
      </w:r>
    </w:p>
    <w:p>
      <w:pPr>
        <w:pStyle w:val="BodyText"/>
      </w:pPr>
      <m:oMathPara>
        <m:oMathParaPr>
          <m:jc m:val="center"/>
        </m:oMathParaPr>
        <m:oMath>
          <m:r>
            <m:rPr>
              <m:sty m:val="p"/>
            </m:rPr>
            <m:t>div</m:t>
          </m:r>
          <m:acc>
            <m:accPr>
              <m:chr m:val="⃗"/>
            </m:accPr>
            <m:e>
              <m:r>
                <m:t>E</m:t>
              </m:r>
            </m:e>
          </m:acc>
          <m:r>
            <m:rPr>
              <m:sty m:val="p"/>
            </m:rPr>
            <m:t>=</m:t>
          </m:r>
          <m:f>
            <m:fPr>
              <m:type m:val="bar"/>
            </m:fPr>
            <m:num>
              <m:r>
                <m:t>ρ</m:t>
              </m:r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=</m:t>
          </m:r>
          <m:r>
            <m:t>0</m:t>
          </m:r>
          <m:r>
            <m:t> </m:t>
          </m:r>
          <m:r>
            <m:rPr>
              <m:sty m:val="p"/>
            </m:rPr>
            <m:t>⇒</m:t>
          </m:r>
          <m:r>
            <m:t> </m:t>
          </m:r>
          <m:r>
            <m:t>ρ</m:t>
          </m:r>
          <m:r>
            <m:rPr>
              <m:sty m:val="p"/>
            </m:rPr>
            <m:t>=</m:t>
          </m:r>
          <m:r>
            <m:t>0</m:t>
          </m:r>
          <m:r>
            <m:t>  </m:t>
          </m:r>
          <m:r>
            <m:rPr>
              <m:nor/>
              <m:sty m:val="p"/>
            </m:rPr>
            <m:t>(în interiorul metalului).</m:t>
          </m:r>
        </m:oMath>
      </m:oMathPara>
    </w:p>
    <w:p>
      <w:pPr>
        <w:pStyle w:val="FirstParagraph"/>
      </w:pPr>
      <w:r>
        <w:t xml:space="preserve">Aceasta înseamnă că nu există densitate volumică de sarcină în interiorul conductorului. Prin urmare,</w:t>
      </w:r>
      <w:r>
        <w:t xml:space="preserve"> </w:t>
      </w:r>
      <w:r>
        <w:rPr>
          <w:b/>
          <w:bCs/>
        </w:rPr>
        <w:t xml:space="preserve">sarcina netă cu care este electrizat metalul se distribuie la echilibru electrostatic exclusiv pe suprafața acestuia</w:t>
      </w:r>
      <w:r>
        <w:t xml:space="preserve">, nu și în interior.</w:t>
      </w:r>
    </w:p>
    <w:p>
      <w:pPr>
        <w:pStyle w:val="BodyText"/>
      </w:pPr>
      <w:r>
        <w:t xml:space="preserve">Demonstrație prin legea Gauss: considerăm o suprafață gaussiană</w:t>
      </w:r>
      <w:r>
        <w:t xml:space="preserve"> </w:t>
      </w:r>
      <m:oMath>
        <m:r>
          <m:rPr>
            <m:sty m:val="p"/>
          </m:rPr>
          <m:t>Σ</m:t>
        </m:r>
      </m:oMath>
      <w:r>
        <w:t xml:space="preserve"> </w:t>
      </w:r>
      <w:r>
        <w:t xml:space="preserve">trasată în interiorul metalului (oriunde, fără să atingă suprafața exterioară). Deoarece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acc>
          <m:accPr>
            <m:chr m:val="⃗"/>
          </m:accPr>
          <m:e>
            <m:r>
              <m:t>0</m:t>
            </m:r>
          </m:e>
        </m:acc>
      </m:oMath>
      <w:r>
        <w:t xml:space="preserve"> </w:t>
      </w:r>
      <w:r>
        <w:t xml:space="preserve">în interior:</w:t>
      </w:r>
    </w:p>
    <w:p>
      <w:pPr>
        <w:pStyle w:val="BodyText"/>
      </w:pPr>
      <m:oMathPara>
        <m:oMathParaPr>
          <m:jc m:val="center"/>
        </m:oMathParaPr>
        <m:oMath>
          <m:nary>
            <m:naryPr>
              <m:chr m:val="∯"/>
              <m:limLoc m:val="subSup"/>
              <m:subHide m:val="off"/>
              <m:supHide m:val="on"/>
            </m:naryPr>
            <m:sub>
              <m:r>
                <m:rPr>
                  <m:sty m:val="p"/>
                </m:rPr>
                <m:t>Σ</m:t>
              </m:r>
            </m:sub>
            <m:sup>
              <m:r>
                <m:t>​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acc>
            <m:accPr>
              <m:chr m:val="̂"/>
            </m:accPr>
            <m:e>
              <m:r>
                <m:t>n</m:t>
              </m:r>
            </m:e>
          </m:acc>
          <m:r>
            <m:t> </m:t>
          </m:r>
          <m:r>
            <m:t>d</m:t>
          </m:r>
          <m:r>
            <m:t>S</m:t>
          </m:r>
          <m:r>
            <m:rPr>
              <m:sty m:val="p"/>
            </m:rPr>
            <m:t>=</m:t>
          </m:r>
          <m:f>
            <m:fPr>
              <m:type m:val="bar"/>
            </m:fPr>
            <m:num>
              <m:sSub>
                <m:e>
                  <m:r>
                    <m:t>Q</m:t>
                  </m:r>
                </m:e>
                <m:sub>
                  <m:r>
                    <m:rPr>
                      <m:nor/>
                      <m:sty m:val="p"/>
                    </m:rPr>
                    <m:t>int</m:t>
                  </m:r>
                </m:sub>
              </m:sSub>
            </m:num>
            <m:den>
              <m:sSub>
                <m:e>
                  <m:r>
                    <m:t>ε</m:t>
                  </m:r>
                </m:e>
                <m:sub>
                  <m:r>
                    <m:t>0</m:t>
                  </m:r>
                </m:sub>
              </m:sSub>
            </m:den>
          </m:f>
          <m:r>
            <m:rPr>
              <m:sty m:val="p"/>
            </m:rPr>
            <m:t>=</m:t>
          </m:r>
          <m:r>
            <m:t>0</m:t>
          </m:r>
          <m:r>
            <m:t> </m:t>
          </m:r>
          <m:r>
            <m:rPr>
              <m:sty m:val="p"/>
            </m:rPr>
            <m:t>⇒</m:t>
          </m:r>
          <m:r>
            <m:t> </m:t>
          </m:r>
          <m:sSub>
            <m:e>
              <m:r>
                <m:t>Q</m:t>
              </m:r>
            </m:e>
            <m:sub>
              <m:r>
                <m:rPr>
                  <m:nor/>
                  <m:sty m:val="p"/>
                </m:rPr>
                <m:t>int</m:t>
              </m:r>
            </m:sub>
          </m:sSub>
          <m:r>
            <m:rPr>
              <m:sty m:val="p"/>
            </m:rPr>
            <m:t>=</m:t>
          </m:r>
          <m:r>
            <m:t>0</m:t>
          </m:r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Aceasta este valabil pentru orice suprafață gaussiană interioară, deci</w:t>
      </w:r>
      <w:r>
        <w:t xml:space="preserve"> </w:t>
      </w:r>
      <m:oMath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pretutindeni în interior, iar sarcina se găsește doar la suprafață.</w:t>
      </w:r>
    </w:p>
    <w:p>
      <w:pPr>
        <w:pStyle w:val="CaptionedFigure"/>
      </w:pPr>
      <w:r>
        <w:drawing>
          <wp:inline>
            <wp:extent cx="1590675" cy="1362075"/>
            <wp:effectExtent b="0" l="0" r="0" t="0"/>
            <wp:docPr descr="Conductor arbitrar încărcat; suprafața gaussiană Σ trasată în interior cu E = 0 și Q_int = 0; sarcinile se găsesc exclusiv pe suprafața exterioară." title="" id="44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4_sarcina_suprafata.svg" id="45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3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Conductor arbitrar încărcat; suprafața gaussiană Σ trasată în interior cu E = 0 și Q_int = 0; sarcinile se găsesc exclusiv pe suprafața exterioară.</w:t>
      </w:r>
    </w:p>
    <w:bookmarkEnd w:id="46"/>
    <w:bookmarkStart w:id="50" w:name="Xe95ab8d609f4be33f32d1f58cae01143d5f18df"/>
    <w:p>
      <w:pPr>
        <w:pStyle w:val="Heading4"/>
      </w:pPr>
      <w:r>
        <w:t xml:space="preserve">Proprietatea 3: Metalul este un sistem echipotențial</w:t>
      </w:r>
    </w:p>
    <w:p>
      <w:pPr>
        <w:pStyle w:val="FirstParagraph"/>
      </w:pPr>
      <w:r>
        <w:t xml:space="preserve">Fie două puncte oarecare</w:t>
      </w:r>
      <w:r>
        <w:t xml:space="preserve"> </w:t>
      </w:r>
      <m:oMath>
        <m:r>
          <m:t>1</m:t>
        </m:r>
      </m:oMath>
      <w:r>
        <w:t xml:space="preserve"> </w:t>
      </w:r>
      <w:r>
        <w:t xml:space="preserve">și</w:t>
      </w:r>
      <w:r>
        <w:t xml:space="preserve"> </w:t>
      </w:r>
      <m:oMath>
        <m:r>
          <m:t>2</m:t>
        </m:r>
      </m:oMath>
      <w:r>
        <w:t xml:space="preserve"> </w:t>
      </w:r>
      <w:r>
        <w:t xml:space="preserve">din interiorul (sau de pe suprafața) metalului, legate printr-un drum</w:t>
      </w:r>
      <w:r>
        <w:t xml:space="preserve"> </w:t>
      </w:r>
      <m:oMath>
        <m:r>
          <m:rPr>
            <m:sty m:val="p"/>
          </m:rPr>
          <m:t>Γ</m:t>
        </m:r>
      </m:oMath>
      <w:r>
        <w:t xml:space="preserve"> </w:t>
      </w:r>
      <w:r>
        <w:t xml:space="preserve">aflat în interior. Deoarece</w:t>
      </w:r>
      <w:r>
        <w:t xml:space="preserve"> </w:t>
      </w:r>
      <m:oMath>
        <m:acc>
          <m:accPr>
            <m:chr m:val="⃗"/>
          </m:accPr>
          <m:e>
            <m:r>
              <m:t>E</m:t>
            </m:r>
          </m:e>
        </m:acc>
        <m:r>
          <m:rPr>
            <m:sty m:val="p"/>
          </m:rPr>
          <m:t>=</m:t>
        </m:r>
        <m:acc>
          <m:accPr>
            <m:chr m:val="⃗"/>
          </m:accPr>
          <m:e>
            <m:r>
              <m:t>0</m:t>
            </m:r>
          </m:e>
        </m:acc>
      </m:oMath>
      <w:r>
        <w:t xml:space="preserve"> </w:t>
      </w:r>
      <w:r>
        <w:t xml:space="preserve">pe tot drumul:</w:t>
      </w:r>
    </w:p>
    <w:p>
      <w:pPr>
        <w:pStyle w:val="BodyText"/>
      </w:pPr>
      <m:oMathPara>
        <m:oMathParaPr>
          <m:jc m:val="center"/>
        </m:oMathParaPr>
        <m:oMath>
          <m:sSub>
            <m:e>
              <m:r>
                <m:t>V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−</m:t>
          </m:r>
          <m:sSub>
            <m:e>
              <m:r>
                <m:t>V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=</m:t>
          </m:r>
          <m:nary>
            <m:naryPr>
              <m:chr m:val="∫"/>
              <m:limLoc m:val="subSup"/>
              <m:subHide m:val="off"/>
              <m:supHide m:val="off"/>
            </m:naryPr>
            <m:sub>
              <m:r>
                <m:t>1</m:t>
              </m:r>
            </m:sub>
            <m:sup>
              <m:r>
                <m:t>2</m:t>
              </m:r>
            </m:sup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</m:nary>
          <m:r>
            <m:rPr>
              <m:sty m:val="p"/>
            </m:rPr>
            <m:t>⋅</m:t>
          </m:r>
          <m:r>
            <m:t>d</m:t>
          </m:r>
          <m:acc>
            <m:accPr>
              <m:chr m:val="⃗"/>
            </m:accPr>
            <m:e>
              <m:r>
                <m:t>r</m:t>
              </m:r>
            </m:e>
          </m:acc>
          <m:r>
            <m:rPr>
              <m:sty m:val="p"/>
            </m:rPr>
            <m:t>=</m:t>
          </m:r>
          <m:r>
            <m:t>0</m:t>
          </m:r>
          <m:r>
            <m:t> </m:t>
          </m:r>
          <m:r>
            <m:rPr>
              <m:sty m:val="p"/>
            </m:rPr>
            <m:t>⇒</m:t>
          </m:r>
          <m:r>
            <m:t> </m:t>
          </m:r>
          <m:sSub>
            <m:e>
              <m:r>
                <m:t>V</m:t>
              </m:r>
            </m:e>
            <m:sub>
              <m:r>
                <m:t>1</m:t>
              </m:r>
            </m:sub>
          </m:sSub>
          <m:r>
            <m:rPr>
              <m:sty m:val="p"/>
            </m:rPr>
            <m:t>=</m:t>
          </m:r>
          <m:sSub>
            <m:e>
              <m:r>
                <m:t>V</m:t>
              </m:r>
            </m:e>
            <m:sub>
              <m:r>
                <m:t>2</m:t>
              </m:r>
            </m:sub>
          </m:sSub>
          <m:r>
            <m:rPr>
              <m:sty m:val="p"/>
            </m:rPr>
            <m:t>.</m:t>
          </m:r>
        </m:oMath>
      </m:oMathPara>
    </w:p>
    <w:p>
      <w:pPr>
        <w:pStyle w:val="FirstParagraph"/>
      </w:pPr>
      <w:r>
        <w:t xml:space="preserve">Prin urmare,</w:t>
      </w:r>
      <w:r>
        <w:t xml:space="preserve"> </w:t>
      </w:r>
      <w:r>
        <w:rPr>
          <w:b/>
          <w:bCs/>
        </w:rPr>
        <w:t xml:space="preserve">metalul aflat la echilibru electrostatic este un sistem echipotențial</w:t>
      </w:r>
      <w:r>
        <w:t xml:space="preserve">: potențialul electric are aceeași valoare în orice punct al conductorului (interior și suprafață).</w:t>
      </w:r>
    </w:p>
    <w:p>
      <w:pPr>
        <w:pStyle w:val="CaptionedFigure"/>
      </w:pPr>
      <w:r>
        <w:drawing>
          <wp:inline>
            <wp:extent cx="1390650" cy="1381125"/>
            <wp:effectExtent b="0" l="0" r="0" t="0"/>
            <wp:docPr descr="Conductor arbitrar la echilibru; drum Γ între punctele 1 și 2 în interior; E = 0 pe drum; concluzie V₁ = V₂." title="" id="48" name="Picture"/>
            <a:graphic>
              <a:graphicData uri="http://schemas.openxmlformats.org/drawingml/2006/picture">
                <pic:pic>
                  <pic:nvPicPr>
                    <pic:cNvPr descr="D:/Daniel/proiecte/electricitate_si_magnetism/web/public/figures/c04_echipotential.svg" id="49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7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Conductor arbitrar la echilibru; drum Γ între punctele 1 și 2 în interior; E = 0 pe drum; concluzie V₁ = V₂.</w:t>
      </w:r>
    </w:p>
    <w:bookmarkEnd w:id="50"/>
    <w:bookmarkEnd w:id="51"/>
    <w:bookmarkEnd w:id="52"/>
    <w:bookmarkStart w:id="53" w:name="X70bb691291550dbc335ea59c61dac58f5efe26c"/>
    <w:p>
      <w:pPr>
        <w:pStyle w:val="Heading2"/>
      </w:pPr>
      <w:r>
        <w:t xml:space="preserve">Rezumat - caracteristicile unui conductor metalic la echilibru electrostatic</w:t>
      </w:r>
    </w:p>
    <w:p>
      <w:pPr>
        <w:pStyle w:val="Compact"/>
        <w:numPr>
          <w:ilvl w:val="0"/>
          <w:numId w:val="1002"/>
        </w:numPr>
      </w:pPr>
      <w:r>
        <w:t xml:space="preserve">Câmpul electric total din interior este nul:</w:t>
      </w:r>
    </w:p>
    <w:p>
      <w:pPr>
        <w:pStyle w:val="Compact"/>
      </w:pPr>
      <m:oMathPara>
        <m:oMathParaPr>
          <m:jc m:val="center"/>
        </m:oMathParaPr>
        <m:oMath>
          <m:sSub>
            <m:e>
              <m:acc>
                <m:accPr>
                  <m:chr m:val="⃗"/>
                </m:accPr>
                <m:e>
                  <m:r>
                    <m:t>E</m:t>
                  </m:r>
                </m:e>
              </m:acc>
            </m:e>
            <m:sub>
              <m:r>
                <m:rPr>
                  <m:nor/>
                  <m:sty m:val="p"/>
                </m:rPr>
                <m:t>total</m:t>
              </m:r>
            </m:sub>
          </m:sSub>
          <m:r>
            <m:rPr>
              <m:sty m:val="p"/>
            </m:rPr>
            <m:t>=</m:t>
          </m:r>
          <m:acc>
            <m:accPr>
              <m:chr m:val="⃗"/>
            </m:accPr>
            <m:e>
              <m:r>
                <m:t>0</m:t>
              </m:r>
            </m:e>
          </m:acc>
          <m:r>
            <m:t> </m:t>
          </m:r>
          <m:r>
            <m:rPr>
              <m:nor/>
              <m:sty m:val="p"/>
            </m:rPr>
            <m:t>(în interior)</m:t>
          </m:r>
          <m:r>
            <m:rPr>
              <m:sty m:val="p"/>
            </m:rPr>
            <m:t>.</m:t>
          </m:r>
        </m:oMath>
      </m:oMathPara>
    </w:p>
    <w:p>
      <w:pPr>
        <w:pStyle w:val="Compact"/>
        <w:numPr>
          <w:ilvl w:val="0"/>
          <w:numId w:val="1002"/>
        </w:numPr>
      </w:pPr>
      <w:r>
        <w:t xml:space="preserve">Sarcina netă cu care este electrizat metalul se distribuie la echilibru electrostatic numai pe suprafața sa, nu și în interior (</w:t>
      </w:r>
      <m:oMath>
        <m:r>
          <m:t>ρ</m:t>
        </m:r>
        <m:r>
          <m:rPr>
            <m:sty m:val="p"/>
          </m:rPr>
          <m:t>=</m:t>
        </m:r>
        <m:r>
          <m:t>0</m:t>
        </m:r>
      </m:oMath>
      <w:r>
        <w:t xml:space="preserve"> </w:t>
      </w:r>
      <w:r>
        <w:t xml:space="preserve">în interior).</w:t>
      </w:r>
    </w:p>
    <w:p>
      <w:pPr>
        <w:pStyle w:val="Compact"/>
        <w:numPr>
          <w:ilvl w:val="0"/>
          <w:numId w:val="1002"/>
        </w:numPr>
      </w:pPr>
      <w:r>
        <w:t xml:space="preserve">Metalul este un sistem echipotențial în stare de echilibru electrostatic: potențialul este constant în tot conductorul.</w:t>
      </w:r>
    </w:p>
    <w:p>
      <w:pPr>
        <w:pStyle w:val="FirstParagraph"/>
      </w:pPr>
      <w:r>
        <w:rPr>
          <w:b/>
          <w:bCs/>
        </w:rPr>
        <w:t xml:space="preserve">Notă:</w:t>
      </w:r>
      <w:r>
        <w:t xml:space="preserve"> </w:t>
      </w:r>
      <w:r>
        <w:t xml:space="preserve">Câmpul electric exterior suprafeței metalului este perpendicular pe aceasta (altfel componenta tangențială ar pune electronii în mișcare, contrazicând echilibrul).</w:t>
      </w:r>
    </w:p>
    <w:bookmarkEnd w:id="5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ro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31" Target="media/rId31.svg" /><Relationship Type="http://schemas.openxmlformats.org/officeDocument/2006/relationships/image" Id="rId13" Target="media/rId13.svg" /><Relationship Type="http://schemas.openxmlformats.org/officeDocument/2006/relationships/image" Id="rId47" Target="media/rId47.svg" /><Relationship Type="http://schemas.openxmlformats.org/officeDocument/2006/relationships/image" Id="rId43" Target="media/rId43.svg" /><Relationship Type="http://schemas.openxmlformats.org/officeDocument/2006/relationships/image" Id="rId9" Target="media/rId9.png" /><Relationship Type="http://schemas.openxmlformats.org/officeDocument/2006/relationships/image" Id="rId34" Target="media/rId34.png" /><Relationship Type="http://schemas.openxmlformats.org/officeDocument/2006/relationships/image" Id="rId20" Target="media/rId20.png" /><Relationship Type="http://schemas.openxmlformats.org/officeDocument/2006/relationships/image" Id="rId26" Target="media/rId26.png" /><Relationship Type="http://schemas.openxmlformats.org/officeDocument/2006/relationships/image" Id="rId38" Target="media/rId38.png" /><Relationship Type="http://schemas.openxmlformats.org/officeDocument/2006/relationships/image" Id="rId16" Target="media/rId16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Cursul 4: Ecuația Poisson; conductori la echilibru electrostatic</dc:title>
  <dc:creator/>
  <cp:keywords/>
  <dcterms:created xsi:type="dcterms:W3CDTF">2026-07-17T12:51:50Z</dcterms:created>
  <dcterms:modified xsi:type="dcterms:W3CDTF">2026-07-17T12:51:50Z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